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8E9" w14:textId="77777777" w:rsidR="0038117A" w:rsidRPr="00B10F76" w:rsidRDefault="0038117A" w:rsidP="0038117A">
      <w:pPr>
        <w:jc w:val="center"/>
        <w:rPr>
          <w:b/>
          <w:szCs w:val="24"/>
          <w:u w:val="single"/>
        </w:rPr>
      </w:pPr>
      <w:r w:rsidRPr="00B10F76">
        <w:rPr>
          <w:b/>
          <w:szCs w:val="24"/>
          <w:u w:val="single"/>
        </w:rPr>
        <w:t xml:space="preserve">Appendix A </w:t>
      </w:r>
    </w:p>
    <w:p w14:paraId="69336370" w14:textId="6DD6C494" w:rsidR="0038117A" w:rsidRDefault="0038117A" w:rsidP="0038117A">
      <w:pPr>
        <w:rPr>
          <w:szCs w:val="24"/>
        </w:rPr>
      </w:pPr>
      <w:r>
        <w:rPr>
          <w:i/>
          <w:szCs w:val="24"/>
        </w:rPr>
        <w:t xml:space="preserve">‘University effort’ </w:t>
      </w:r>
      <w:r w:rsidR="00721C3E">
        <w:rPr>
          <w:szCs w:val="24"/>
        </w:rPr>
        <w:t>only includes activities for which the employee is compensated by UVA</w:t>
      </w:r>
      <w:r w:rsidR="001F2DF6">
        <w:rPr>
          <w:szCs w:val="24"/>
        </w:rPr>
        <w:t xml:space="preserve">, totals 100% regardless of the type of the employee’s </w:t>
      </w:r>
      <w:r w:rsidR="00FA213D">
        <w:rPr>
          <w:szCs w:val="24"/>
        </w:rPr>
        <w:t>appointment and</w:t>
      </w:r>
      <w:r w:rsidR="001F2DF6">
        <w:rPr>
          <w:szCs w:val="24"/>
        </w:rPr>
        <w:t xml:space="preserve"> excludes non-University activities</w:t>
      </w:r>
      <w:r>
        <w:rPr>
          <w:szCs w:val="24"/>
        </w:rPr>
        <w:t>. Although the scope of ‘</w:t>
      </w:r>
      <w:r>
        <w:rPr>
          <w:i/>
          <w:szCs w:val="24"/>
        </w:rPr>
        <w:t>University effort’</w:t>
      </w:r>
      <w:r>
        <w:rPr>
          <w:szCs w:val="24"/>
        </w:rPr>
        <w:t xml:space="preserve"> may differ somewhat among faculty, the following illustrates the types of activities that would typically be included as part of one’s ‘</w:t>
      </w:r>
      <w:r>
        <w:rPr>
          <w:i/>
          <w:szCs w:val="24"/>
        </w:rPr>
        <w:t>University effort’</w:t>
      </w:r>
      <w:r>
        <w:rPr>
          <w:szCs w:val="24"/>
        </w:rPr>
        <w:t xml:space="preserve"> or excluded from one’s ‘</w:t>
      </w:r>
      <w:r>
        <w:rPr>
          <w:i/>
          <w:szCs w:val="24"/>
        </w:rPr>
        <w:t>University effort</w:t>
      </w:r>
      <w:r>
        <w:rPr>
          <w:szCs w:val="24"/>
        </w:rPr>
        <w:t>:’</w:t>
      </w:r>
    </w:p>
    <w:p w14:paraId="4254F6B9" w14:textId="77777777" w:rsidR="0038117A" w:rsidRDefault="0038117A" w:rsidP="0038117A">
      <w:pPr>
        <w:rPr>
          <w:u w:val="single"/>
        </w:rPr>
        <w:sectPr w:rsidR="0038117A" w:rsidSect="00E5675D">
          <w:headerReference w:type="default" r:id="rId7"/>
          <w:footerReference w:type="default" r:id="rId8"/>
          <w:type w:val="continuous"/>
          <w:pgSz w:w="12240" w:h="15840" w:code="1"/>
          <w:pgMar w:top="1080" w:right="1440" w:bottom="720" w:left="1440" w:header="432" w:footer="576" w:gutter="0"/>
          <w:cols w:space="720"/>
          <w:docGrid w:linePitch="360"/>
        </w:sectPr>
      </w:pPr>
    </w:p>
    <w:p w14:paraId="5089EBA7" w14:textId="77777777" w:rsidR="0038117A" w:rsidRDefault="0038117A" w:rsidP="0038117A">
      <w:pPr>
        <w:rPr>
          <w:u w:val="single"/>
        </w:rPr>
      </w:pPr>
      <w:r w:rsidRPr="000E1676">
        <w:rPr>
          <w:i/>
          <w:u w:val="single"/>
        </w:rPr>
        <w:t>University Effort</w:t>
      </w:r>
      <w:r w:rsidRPr="00BC5E16">
        <w:rPr>
          <w:u w:val="single"/>
        </w:rPr>
        <w:t xml:space="preserve"> </w:t>
      </w:r>
      <w:r w:rsidRPr="007E451A">
        <w:rPr>
          <w:b/>
          <w:bCs/>
          <w:u w:val="single"/>
        </w:rPr>
        <w:t>*</w:t>
      </w:r>
      <w:r w:rsidRPr="00BC5E16">
        <w:rPr>
          <w:u w:val="single"/>
        </w:rPr>
        <w:t xml:space="preserve"> </w:t>
      </w:r>
      <w:r w:rsidRPr="00BC5E16">
        <w:rPr>
          <w:b/>
          <w:bCs/>
          <w:u w:val="single"/>
        </w:rPr>
        <w:t>INCLUDES:</w:t>
      </w:r>
      <w:r w:rsidRPr="00BC5E16">
        <w:rPr>
          <w:u w:val="single"/>
        </w:rPr>
        <w:t xml:space="preserve">  </w:t>
      </w:r>
    </w:p>
    <w:p w14:paraId="56223457" w14:textId="77777777" w:rsidR="0038117A" w:rsidRPr="00DA7570" w:rsidRDefault="0038117A" w:rsidP="0038117A">
      <w:pPr>
        <w:rPr>
          <w:b/>
        </w:rPr>
      </w:pPr>
      <w:r w:rsidRPr="00DA7570">
        <w:rPr>
          <w:b/>
        </w:rPr>
        <w:t>Section I: Sponsored Activities</w:t>
      </w:r>
    </w:p>
    <w:p w14:paraId="7C9DC23B" w14:textId="75795EA0" w:rsidR="0038117A" w:rsidRDefault="0038117A" w:rsidP="00A628C8">
      <w:pPr>
        <w:numPr>
          <w:ilvl w:val="0"/>
          <w:numId w:val="16"/>
        </w:numPr>
        <w:spacing w:after="0" w:line="240" w:lineRule="auto"/>
      </w:pPr>
      <w:r w:rsidRPr="006D6907">
        <w:t>Externally sponsored research, including all activities that the federal government recognizes as allocable to sponsored projects</w:t>
      </w:r>
      <w:r>
        <w:t xml:space="preserve"> (e.g., advising students, writing technical/progress reports, technical presentations).</w:t>
      </w:r>
      <w:r w:rsidRPr="006D6907">
        <w:t xml:space="preserve"> </w:t>
      </w:r>
      <w:r w:rsidR="00A628C8">
        <w:br/>
      </w:r>
    </w:p>
    <w:p w14:paraId="4B315AED" w14:textId="77777777" w:rsidR="0038117A" w:rsidRPr="00DA7570" w:rsidRDefault="0038117A" w:rsidP="0038117A">
      <w:pPr>
        <w:rPr>
          <w:b/>
        </w:rPr>
      </w:pPr>
      <w:r w:rsidRPr="00DA7570">
        <w:rPr>
          <w:b/>
        </w:rPr>
        <w:t>Section II</w:t>
      </w:r>
      <w:r>
        <w:rPr>
          <w:b/>
        </w:rPr>
        <w:t>:</w:t>
      </w:r>
      <w:r w:rsidRPr="00DA7570">
        <w:rPr>
          <w:b/>
        </w:rPr>
        <w:t xml:space="preserve"> Other University Activities</w:t>
      </w:r>
    </w:p>
    <w:p w14:paraId="3F7A1BED" w14:textId="77777777" w:rsidR="0038117A" w:rsidRDefault="0038117A" w:rsidP="0038117A">
      <w:pPr>
        <w:numPr>
          <w:ilvl w:val="0"/>
          <w:numId w:val="16"/>
        </w:numPr>
        <w:spacing w:after="0" w:line="240" w:lineRule="auto"/>
      </w:pPr>
      <w:r w:rsidRPr="006D6907">
        <w:t>Instruction/university supported academic effort, including classroom teaching</w:t>
      </w:r>
      <w:r>
        <w:t>/</w:t>
      </w:r>
      <w:r w:rsidRPr="006D6907">
        <w:t>presentations to students/trainee groups, mentoring trainees</w:t>
      </w:r>
      <w:r>
        <w:t xml:space="preserve"> </w:t>
      </w:r>
      <w:r w:rsidRPr="006D6907">
        <w:t>and participation in resident training</w:t>
      </w:r>
      <w:r>
        <w:t>.</w:t>
      </w:r>
    </w:p>
    <w:p w14:paraId="4A8E272B" w14:textId="77777777" w:rsidR="0038117A" w:rsidRDefault="0038117A" w:rsidP="0038117A">
      <w:pPr>
        <w:numPr>
          <w:ilvl w:val="0"/>
          <w:numId w:val="16"/>
        </w:numPr>
        <w:spacing w:after="0" w:line="240" w:lineRule="auto"/>
      </w:pPr>
      <w:r>
        <w:t xml:space="preserve">Non-sponsored </w:t>
      </w:r>
      <w:r w:rsidRPr="006D6907">
        <w:t>research, including U</w:t>
      </w:r>
      <w:r>
        <w:t>Va</w:t>
      </w:r>
      <w:r w:rsidRPr="006D6907">
        <w:t>-funded projects</w:t>
      </w:r>
      <w:r>
        <w:t>.</w:t>
      </w:r>
    </w:p>
    <w:p w14:paraId="4A816ED1" w14:textId="77777777" w:rsidR="0038117A" w:rsidRPr="006D6907" w:rsidRDefault="0038117A" w:rsidP="0038117A">
      <w:pPr>
        <w:numPr>
          <w:ilvl w:val="0"/>
          <w:numId w:val="16"/>
        </w:numPr>
        <w:spacing w:after="0" w:line="240" w:lineRule="auto"/>
      </w:pPr>
      <w:r>
        <w:t xml:space="preserve">University Service, including University committees. </w:t>
      </w:r>
    </w:p>
    <w:p w14:paraId="62852BBA" w14:textId="77777777" w:rsidR="0038117A" w:rsidRPr="006D6907" w:rsidRDefault="0038117A" w:rsidP="0038117A">
      <w:pPr>
        <w:numPr>
          <w:ilvl w:val="0"/>
          <w:numId w:val="16"/>
        </w:numPr>
        <w:spacing w:after="0" w:line="240" w:lineRule="auto"/>
      </w:pPr>
      <w:r w:rsidRPr="006D6907">
        <w:t>Administration (e.g.</w:t>
      </w:r>
      <w:r>
        <w:t>,</w:t>
      </w:r>
      <w:r w:rsidRPr="006D6907">
        <w:t xml:space="preserve"> Department Chair, Program Director, Dean)</w:t>
      </w:r>
      <w:r>
        <w:t>.</w:t>
      </w:r>
      <w:r w:rsidRPr="006D6907">
        <w:t xml:space="preserve"> </w:t>
      </w:r>
    </w:p>
    <w:p w14:paraId="29EB7CAD" w14:textId="77777777" w:rsidR="0038117A" w:rsidRDefault="0038117A" w:rsidP="0038117A">
      <w:pPr>
        <w:numPr>
          <w:ilvl w:val="0"/>
          <w:numId w:val="16"/>
        </w:numPr>
        <w:spacing w:after="0" w:line="240" w:lineRule="auto"/>
      </w:pPr>
      <w:r w:rsidRPr="007D690B">
        <w:t xml:space="preserve">Effort expended </w:t>
      </w:r>
      <w:r>
        <w:t>o</w:t>
      </w:r>
      <w:r w:rsidRPr="007D690B">
        <w:t xml:space="preserve">n preparing </w:t>
      </w:r>
      <w:r w:rsidRPr="001524CD">
        <w:t>competitive p</w:t>
      </w:r>
      <w:r w:rsidRPr="007D690B">
        <w:t>roposals</w:t>
      </w:r>
      <w:r>
        <w:t xml:space="preserve"> for future funding (e.g., new, renewals).</w:t>
      </w:r>
      <w:r w:rsidRPr="007D690B">
        <w:t xml:space="preserve"> </w:t>
      </w:r>
    </w:p>
    <w:p w14:paraId="4A1AC739" w14:textId="2DE60CF8" w:rsidR="0038117A" w:rsidRDefault="0038117A" w:rsidP="0038117A"/>
    <w:p w14:paraId="0059AF67" w14:textId="27BEA222" w:rsidR="0038117A" w:rsidRPr="007D690B" w:rsidRDefault="0038117A" w:rsidP="0038117A">
      <w:r w:rsidRPr="00DA7570">
        <w:rPr>
          <w:b/>
        </w:rPr>
        <w:t>Section I</w:t>
      </w:r>
      <w:r>
        <w:rPr>
          <w:b/>
        </w:rPr>
        <w:t>II: Clinical Care and Medical Center-Related Activities</w:t>
      </w:r>
    </w:p>
    <w:p w14:paraId="0BAA9FCB" w14:textId="31B792DA" w:rsidR="0038117A" w:rsidRPr="006D6907" w:rsidRDefault="0038117A" w:rsidP="0038117A">
      <w:pPr>
        <w:numPr>
          <w:ilvl w:val="0"/>
          <w:numId w:val="16"/>
        </w:numPr>
        <w:spacing w:after="0" w:line="240" w:lineRule="auto"/>
      </w:pPr>
      <w:r>
        <w:t xml:space="preserve">Clinical activities (the </w:t>
      </w:r>
      <w:r>
        <w:rPr>
          <w:szCs w:val="24"/>
        </w:rPr>
        <w:t>University Physicians Group</w:t>
      </w:r>
      <w:r>
        <w:t>).</w:t>
      </w:r>
      <w:r w:rsidR="00A628C8">
        <w:br/>
      </w:r>
    </w:p>
    <w:p w14:paraId="06FB53ED" w14:textId="77777777" w:rsidR="00E5675D" w:rsidRDefault="00E5675D" w:rsidP="00A628C8">
      <w:pPr>
        <w:rPr>
          <w:i/>
          <w:iCs/>
        </w:rPr>
      </w:pPr>
    </w:p>
    <w:p w14:paraId="01B4D103" w14:textId="457A6F57" w:rsidR="00A628C8" w:rsidRPr="00D46BC8" w:rsidRDefault="00A628C8" w:rsidP="00A628C8">
      <w:pPr>
        <w:rPr>
          <w:u w:val="single"/>
        </w:rPr>
      </w:pPr>
      <w:r w:rsidRPr="00D46BC8">
        <w:rPr>
          <w:i/>
          <w:iCs/>
          <w:u w:val="single"/>
        </w:rPr>
        <w:t>University Effort</w:t>
      </w:r>
      <w:r w:rsidRPr="00D46BC8">
        <w:rPr>
          <w:u w:val="single"/>
        </w:rPr>
        <w:t xml:space="preserve"> </w:t>
      </w:r>
      <w:r w:rsidRPr="00D46BC8">
        <w:rPr>
          <w:b/>
          <w:bCs/>
          <w:u w:val="single"/>
        </w:rPr>
        <w:t>EXCLUDES</w:t>
      </w:r>
      <w:r w:rsidRPr="00D46BC8">
        <w:rPr>
          <w:u w:val="single"/>
        </w:rPr>
        <w:t xml:space="preserve">: </w:t>
      </w:r>
    </w:p>
    <w:p w14:paraId="10C3161E" w14:textId="79B2B426" w:rsidR="00A628C8" w:rsidRDefault="00A628C8" w:rsidP="00A628C8">
      <w:pPr>
        <w:pStyle w:val="ListParagraph"/>
        <w:numPr>
          <w:ilvl w:val="0"/>
          <w:numId w:val="18"/>
        </w:numPr>
      </w:pPr>
      <w:r>
        <w:t>Consulting outside of UVa, except when performed as part of an individual's assigned responsibilities.</w:t>
      </w:r>
    </w:p>
    <w:p w14:paraId="27342EF4" w14:textId="7E68AF3C" w:rsidR="00A628C8" w:rsidRDefault="00A628C8" w:rsidP="00A628C8">
      <w:pPr>
        <w:pStyle w:val="ListParagraph"/>
        <w:numPr>
          <w:ilvl w:val="0"/>
          <w:numId w:val="18"/>
        </w:numPr>
      </w:pPr>
      <w:r>
        <w:t xml:space="preserve">Service on grant funding peer review panels. </w:t>
      </w:r>
    </w:p>
    <w:p w14:paraId="17FA1E03" w14:textId="6C70A3B8" w:rsidR="00A628C8" w:rsidRDefault="00A628C8" w:rsidP="00A628C8">
      <w:pPr>
        <w:pStyle w:val="ListParagraph"/>
        <w:numPr>
          <w:ilvl w:val="0"/>
          <w:numId w:val="18"/>
        </w:numPr>
      </w:pPr>
      <w:r>
        <w:t xml:space="preserve">Peer review of manuscripts, regardless of whether compensation is received. </w:t>
      </w:r>
    </w:p>
    <w:p w14:paraId="715E049F" w14:textId="7E2D84A8" w:rsidR="00A628C8" w:rsidRDefault="00A628C8" w:rsidP="00A628C8">
      <w:pPr>
        <w:pStyle w:val="ListParagraph"/>
        <w:numPr>
          <w:ilvl w:val="0"/>
          <w:numId w:val="18"/>
        </w:numPr>
      </w:pPr>
      <w:r>
        <w:t xml:space="preserve">Leadership in professional societies. </w:t>
      </w:r>
    </w:p>
    <w:p w14:paraId="3EE4360E" w14:textId="1A0745DF" w:rsidR="00A628C8" w:rsidRDefault="00A628C8" w:rsidP="00A628C8">
      <w:pPr>
        <w:pStyle w:val="ListParagraph"/>
        <w:numPr>
          <w:ilvl w:val="0"/>
          <w:numId w:val="18"/>
        </w:numPr>
      </w:pPr>
      <w:r>
        <w:t>Volunteer, community</w:t>
      </w:r>
      <w:r>
        <w:t>,</w:t>
      </w:r>
      <w:r>
        <w:t xml:space="preserve"> or public service not directly related to ‘University effort.’ </w:t>
      </w:r>
    </w:p>
    <w:p w14:paraId="53FA9F4F" w14:textId="6B669580" w:rsidR="00A628C8" w:rsidRDefault="00A628C8" w:rsidP="00A628C8">
      <w:pPr>
        <w:pStyle w:val="ListParagraph"/>
        <w:numPr>
          <w:ilvl w:val="0"/>
          <w:numId w:val="18"/>
        </w:numPr>
      </w:pPr>
      <w:r>
        <w:t>Lectures or presentations for which the individual receives compensation from a source other than UVa.</w:t>
      </w:r>
    </w:p>
    <w:p w14:paraId="50BE8CF0" w14:textId="6F76F0B2" w:rsidR="00A628C8" w:rsidRDefault="00A628C8" w:rsidP="00A628C8">
      <w:pPr>
        <w:pStyle w:val="ListParagraph"/>
        <w:numPr>
          <w:ilvl w:val="0"/>
          <w:numId w:val="18"/>
        </w:numPr>
      </w:pPr>
      <w:r>
        <w:t>A</w:t>
      </w:r>
      <w:r>
        <w:t xml:space="preserve">ctivities </w:t>
      </w:r>
      <w:r>
        <w:t xml:space="preserve">performed as Internal Overload (see </w:t>
      </w:r>
      <w:hyperlink r:id="rId9" w:history="1">
        <w:r w:rsidRPr="00A628C8">
          <w:rPr>
            <w:rStyle w:val="Hyperlink"/>
          </w:rPr>
          <w:t>HRM-045</w:t>
        </w:r>
      </w:hyperlink>
      <w:r>
        <w:t xml:space="preserve">). </w:t>
      </w:r>
    </w:p>
    <w:p w14:paraId="3931BAF7" w14:textId="2B181818" w:rsidR="00A628C8" w:rsidRDefault="00A628C8" w:rsidP="00A628C8">
      <w:pPr>
        <w:pStyle w:val="ListParagraph"/>
        <w:numPr>
          <w:ilvl w:val="0"/>
          <w:numId w:val="18"/>
        </w:numPr>
      </w:pPr>
      <w:r>
        <w:t>Incidental work, de minimis activities.</w:t>
      </w:r>
    </w:p>
    <w:p w14:paraId="31960E8A" w14:textId="15050621" w:rsidR="0038117A" w:rsidRPr="005C7580" w:rsidRDefault="00A628C8" w:rsidP="00A628C8">
      <w:pPr>
        <w:pStyle w:val="ListParagraph"/>
        <w:numPr>
          <w:ilvl w:val="0"/>
          <w:numId w:val="18"/>
        </w:numPr>
      </w:pPr>
      <w:r>
        <w:t>Other activities over and above or separate from assigned responsibilities.</w:t>
      </w:r>
    </w:p>
    <w:p w14:paraId="42361D8B" w14:textId="77777777" w:rsidR="00E5675D" w:rsidRDefault="00E5675D" w:rsidP="0038117A">
      <w:pPr>
        <w:sectPr w:rsidR="00E5675D" w:rsidSect="00E5675D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14:paraId="173E25E7" w14:textId="1B5F5607" w:rsidR="0038117A" w:rsidRDefault="00A628C8" w:rsidP="0038117A">
      <w:r>
        <w:lastRenderedPageBreak/>
        <w:br/>
      </w:r>
    </w:p>
    <w:sectPr w:rsidR="0038117A" w:rsidSect="006D0A91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4699" w14:textId="77777777" w:rsidR="00C92E84" w:rsidRDefault="00C92E84" w:rsidP="00722AA4">
      <w:pPr>
        <w:spacing w:after="0" w:line="240" w:lineRule="auto"/>
      </w:pPr>
      <w:r>
        <w:separator/>
      </w:r>
    </w:p>
  </w:endnote>
  <w:endnote w:type="continuationSeparator" w:id="0">
    <w:p w14:paraId="272E21D6" w14:textId="77777777" w:rsidR="00C92E84" w:rsidRDefault="00C92E84" w:rsidP="0072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B191" w14:textId="66BE2227" w:rsidR="00E5675D" w:rsidRDefault="00E5675D" w:rsidP="00E5675D">
    <w:r>
      <w:pict w14:anchorId="01FFAA02">
        <v:rect id="_x0000_i1027" style="width:0;height:1.5pt" o:hralign="center" o:hrstd="t" o:hr="t" fillcolor="#aca899" stroked="f"/>
      </w:pict>
    </w:r>
  </w:p>
  <w:p w14:paraId="028DF347" w14:textId="77777777" w:rsidR="00E5675D" w:rsidRDefault="00E5675D" w:rsidP="00E5675D">
    <w:r w:rsidRPr="007E451A">
      <w:rPr>
        <w:b/>
        <w:bCs/>
      </w:rPr>
      <w:t>*</w:t>
    </w:r>
    <w:r w:rsidRPr="00021C99">
      <w:t xml:space="preserve"> </w:t>
    </w:r>
    <w:r w:rsidRPr="001524CD">
      <w:t xml:space="preserve">Inclusion of the specific activity in </w:t>
    </w:r>
    <w:proofErr w:type="gramStart"/>
    <w:r w:rsidRPr="001524CD">
      <w:rPr>
        <w:i/>
      </w:rPr>
      <w:t>University</w:t>
    </w:r>
    <w:proofErr w:type="gramEnd"/>
    <w:r w:rsidRPr="001524CD">
      <w:rPr>
        <w:i/>
      </w:rPr>
      <w:t xml:space="preserve"> effort</w:t>
    </w:r>
    <w:r w:rsidRPr="001524CD">
      <w:t xml:space="preserve"> does not automatically permit the University to direct charge this activity’s cost to a federally funded sponsored project.</w:t>
    </w:r>
    <w:r w:rsidRPr="00021C99">
      <w:t xml:space="preserve"> For example, effort devoted to </w:t>
    </w:r>
    <w:r>
      <w:t xml:space="preserve">proposal development for future funding opportunities (competitive awards, </w:t>
    </w:r>
    <w:r w:rsidRPr="00021C99">
      <w:t>new</w:t>
    </w:r>
    <w:r>
      <w:t xml:space="preserve"> or renewals) </w:t>
    </w:r>
    <w:r w:rsidRPr="001524CD">
      <w:t>must not be direct charged</w:t>
    </w:r>
    <w:r>
      <w:t xml:space="preserve"> to existing federally funded sponsored projects.</w:t>
    </w:r>
  </w:p>
  <w:p w14:paraId="488E664B" w14:textId="06E05233" w:rsidR="00E5675D" w:rsidRDefault="00E5675D">
    <w:pPr>
      <w:pStyle w:val="Footer"/>
    </w:pPr>
  </w:p>
  <w:p w14:paraId="5DCAA8AB" w14:textId="77777777" w:rsidR="000F387B" w:rsidRDefault="000F3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3756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7CC77B" w14:textId="3F2DB8AC" w:rsidR="00722AA4" w:rsidRDefault="00722AA4">
            <w:pPr>
              <w:pStyle w:val="Footer"/>
              <w:jc w:val="right"/>
            </w:pPr>
            <w:r>
              <w:t>Date: 3/7/23</w:t>
            </w:r>
            <w:r>
              <w:br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7CF8A" w14:textId="77777777" w:rsidR="00722AA4" w:rsidRDefault="00722AA4">
    <w:pPr>
      <w:pStyle w:val="Footer"/>
    </w:pPr>
  </w:p>
  <w:p w14:paraId="7A6C1B1A" w14:textId="77777777" w:rsidR="00BD396D" w:rsidRDefault="00BD3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8730" w14:textId="77777777" w:rsidR="00C92E84" w:rsidRDefault="00C92E84" w:rsidP="00722AA4">
      <w:pPr>
        <w:spacing w:after="0" w:line="240" w:lineRule="auto"/>
      </w:pPr>
      <w:r>
        <w:separator/>
      </w:r>
    </w:p>
  </w:footnote>
  <w:footnote w:type="continuationSeparator" w:id="0">
    <w:p w14:paraId="311D0592" w14:textId="77777777" w:rsidR="00C92E84" w:rsidRDefault="00C92E84" w:rsidP="0072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5099" w14:textId="77777777" w:rsidR="0038117A" w:rsidRDefault="003811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C5D"/>
    <w:multiLevelType w:val="multilevel"/>
    <w:tmpl w:val="BFC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D290E"/>
    <w:multiLevelType w:val="multilevel"/>
    <w:tmpl w:val="6A90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B300E"/>
    <w:multiLevelType w:val="hybridMultilevel"/>
    <w:tmpl w:val="78ACED34"/>
    <w:lvl w:ilvl="0" w:tplc="BD088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3A5C"/>
    <w:multiLevelType w:val="multilevel"/>
    <w:tmpl w:val="57A84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D3735"/>
    <w:multiLevelType w:val="multilevel"/>
    <w:tmpl w:val="5478E9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219C6"/>
    <w:multiLevelType w:val="multilevel"/>
    <w:tmpl w:val="DCD6A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31729"/>
    <w:multiLevelType w:val="multilevel"/>
    <w:tmpl w:val="4628F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E375A"/>
    <w:multiLevelType w:val="multilevel"/>
    <w:tmpl w:val="81F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C1D73"/>
    <w:multiLevelType w:val="multilevel"/>
    <w:tmpl w:val="F21CE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25384"/>
    <w:multiLevelType w:val="multilevel"/>
    <w:tmpl w:val="494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102D70"/>
    <w:multiLevelType w:val="multilevel"/>
    <w:tmpl w:val="C85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E6B07"/>
    <w:multiLevelType w:val="multilevel"/>
    <w:tmpl w:val="7982EC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911BF"/>
    <w:multiLevelType w:val="multilevel"/>
    <w:tmpl w:val="20E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95915"/>
    <w:multiLevelType w:val="multilevel"/>
    <w:tmpl w:val="75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9E07CD"/>
    <w:multiLevelType w:val="multilevel"/>
    <w:tmpl w:val="CD908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55F41"/>
    <w:multiLevelType w:val="hybridMultilevel"/>
    <w:tmpl w:val="F3B04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56C0C"/>
    <w:multiLevelType w:val="hybridMultilevel"/>
    <w:tmpl w:val="1102BF5E"/>
    <w:lvl w:ilvl="0" w:tplc="BD088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72F5"/>
    <w:multiLevelType w:val="multilevel"/>
    <w:tmpl w:val="BFCC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944248">
    <w:abstractNumId w:val="5"/>
  </w:num>
  <w:num w:numId="2" w16cid:durableId="1392774633">
    <w:abstractNumId w:val="7"/>
  </w:num>
  <w:num w:numId="3" w16cid:durableId="1460340765">
    <w:abstractNumId w:val="12"/>
  </w:num>
  <w:num w:numId="4" w16cid:durableId="1859197292">
    <w:abstractNumId w:val="11"/>
  </w:num>
  <w:num w:numId="5" w16cid:durableId="2138064082">
    <w:abstractNumId w:val="17"/>
  </w:num>
  <w:num w:numId="6" w16cid:durableId="1616597666">
    <w:abstractNumId w:val="13"/>
  </w:num>
  <w:num w:numId="7" w16cid:durableId="1364475406">
    <w:abstractNumId w:val="3"/>
  </w:num>
  <w:num w:numId="8" w16cid:durableId="1737900428">
    <w:abstractNumId w:val="1"/>
  </w:num>
  <w:num w:numId="9" w16cid:durableId="1647394708">
    <w:abstractNumId w:val="14"/>
  </w:num>
  <w:num w:numId="10" w16cid:durableId="1464419226">
    <w:abstractNumId w:val="10"/>
  </w:num>
  <w:num w:numId="11" w16cid:durableId="1021322589">
    <w:abstractNumId w:val="8"/>
  </w:num>
  <w:num w:numId="12" w16cid:durableId="466124178">
    <w:abstractNumId w:val="0"/>
  </w:num>
  <w:num w:numId="13" w16cid:durableId="651837132">
    <w:abstractNumId w:val="6"/>
  </w:num>
  <w:num w:numId="14" w16cid:durableId="1384476067">
    <w:abstractNumId w:val="9"/>
  </w:num>
  <w:num w:numId="15" w16cid:durableId="1533377015">
    <w:abstractNumId w:val="4"/>
  </w:num>
  <w:num w:numId="16" w16cid:durableId="166747181">
    <w:abstractNumId w:val="16"/>
  </w:num>
  <w:num w:numId="17" w16cid:durableId="2005158919">
    <w:abstractNumId w:val="2"/>
  </w:num>
  <w:num w:numId="18" w16cid:durableId="4246142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4"/>
    <w:rsid w:val="00040DC9"/>
    <w:rsid w:val="0006729D"/>
    <w:rsid w:val="00073FA7"/>
    <w:rsid w:val="000C7567"/>
    <w:rsid w:val="000D791E"/>
    <w:rsid w:val="000F2562"/>
    <w:rsid w:val="000F387B"/>
    <w:rsid w:val="00147150"/>
    <w:rsid w:val="001575A2"/>
    <w:rsid w:val="001F2DF6"/>
    <w:rsid w:val="00211D7B"/>
    <w:rsid w:val="002B68CB"/>
    <w:rsid w:val="003606F6"/>
    <w:rsid w:val="0038117A"/>
    <w:rsid w:val="004539ED"/>
    <w:rsid w:val="00484C4F"/>
    <w:rsid w:val="00513FD6"/>
    <w:rsid w:val="00592539"/>
    <w:rsid w:val="005A5F50"/>
    <w:rsid w:val="0061262C"/>
    <w:rsid w:val="0062043D"/>
    <w:rsid w:val="00644D6D"/>
    <w:rsid w:val="00665337"/>
    <w:rsid w:val="006775E2"/>
    <w:rsid w:val="00692E17"/>
    <w:rsid w:val="006B71F4"/>
    <w:rsid w:val="006C5D5E"/>
    <w:rsid w:val="006D0A91"/>
    <w:rsid w:val="006F1FCE"/>
    <w:rsid w:val="00721C3E"/>
    <w:rsid w:val="00722AA4"/>
    <w:rsid w:val="007D31B6"/>
    <w:rsid w:val="007D51CF"/>
    <w:rsid w:val="007E451A"/>
    <w:rsid w:val="00825EE2"/>
    <w:rsid w:val="00831D07"/>
    <w:rsid w:val="008B4D3A"/>
    <w:rsid w:val="00990D7F"/>
    <w:rsid w:val="009F37EE"/>
    <w:rsid w:val="00A03D77"/>
    <w:rsid w:val="00A21BB6"/>
    <w:rsid w:val="00A41792"/>
    <w:rsid w:val="00A628C8"/>
    <w:rsid w:val="00A70E8B"/>
    <w:rsid w:val="00A9567C"/>
    <w:rsid w:val="00AC21C5"/>
    <w:rsid w:val="00AD1CDC"/>
    <w:rsid w:val="00AF1DF8"/>
    <w:rsid w:val="00B029AD"/>
    <w:rsid w:val="00B125F7"/>
    <w:rsid w:val="00B12887"/>
    <w:rsid w:val="00B56C04"/>
    <w:rsid w:val="00B71F08"/>
    <w:rsid w:val="00BD396D"/>
    <w:rsid w:val="00C06414"/>
    <w:rsid w:val="00C4655B"/>
    <w:rsid w:val="00C52BAE"/>
    <w:rsid w:val="00C61E88"/>
    <w:rsid w:val="00C92E84"/>
    <w:rsid w:val="00C92FC3"/>
    <w:rsid w:val="00D26442"/>
    <w:rsid w:val="00D3079C"/>
    <w:rsid w:val="00D46BC8"/>
    <w:rsid w:val="00D502C3"/>
    <w:rsid w:val="00DD2712"/>
    <w:rsid w:val="00E315B4"/>
    <w:rsid w:val="00E5675D"/>
    <w:rsid w:val="00E919A8"/>
    <w:rsid w:val="00F06E2C"/>
    <w:rsid w:val="00FA213D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DF5F8"/>
  <w15:chartTrackingRefBased/>
  <w15:docId w15:val="{3D4D7F2C-7356-440A-89CA-7D97EFF3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2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-content">
    <w:name w:val="field-content"/>
    <w:basedOn w:val="DefaultParagraphFont"/>
    <w:rsid w:val="00722AA4"/>
  </w:style>
  <w:style w:type="character" w:customStyle="1" w:styleId="views-label">
    <w:name w:val="views-label"/>
    <w:basedOn w:val="DefaultParagraphFont"/>
    <w:rsid w:val="00722AA4"/>
  </w:style>
  <w:style w:type="character" w:customStyle="1" w:styleId="date-display-single">
    <w:name w:val="date-display-single"/>
    <w:basedOn w:val="DefaultParagraphFont"/>
    <w:rsid w:val="00722AA4"/>
  </w:style>
  <w:style w:type="character" w:styleId="Hyperlink">
    <w:name w:val="Hyperlink"/>
    <w:basedOn w:val="DefaultParagraphFont"/>
    <w:uiPriority w:val="99"/>
    <w:unhideWhenUsed/>
    <w:rsid w:val="00722A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2AA4"/>
    <w:rPr>
      <w:i/>
      <w:iCs/>
    </w:rPr>
  </w:style>
  <w:style w:type="paragraph" w:customStyle="1" w:styleId="even">
    <w:name w:val="even"/>
    <w:basedOn w:val="Normal"/>
    <w:rsid w:val="0072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-name">
    <w:name w:val="term-name"/>
    <w:basedOn w:val="DefaultParagraphFont"/>
    <w:rsid w:val="00722AA4"/>
  </w:style>
  <w:style w:type="paragraph" w:customStyle="1" w:styleId="odd">
    <w:name w:val="odd"/>
    <w:basedOn w:val="Normal"/>
    <w:rsid w:val="0072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AA4"/>
    <w:rPr>
      <w:b/>
      <w:bCs/>
    </w:rPr>
  </w:style>
  <w:style w:type="paragraph" w:customStyle="1" w:styleId="rteindent1">
    <w:name w:val="rteindent1"/>
    <w:basedOn w:val="Normal"/>
    <w:rsid w:val="0072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4"/>
  </w:style>
  <w:style w:type="paragraph" w:styleId="Footer">
    <w:name w:val="footer"/>
    <w:basedOn w:val="Normal"/>
    <w:link w:val="FooterChar"/>
    <w:uiPriority w:val="99"/>
    <w:unhideWhenUsed/>
    <w:rsid w:val="0072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4"/>
  </w:style>
  <w:style w:type="paragraph" w:styleId="Revision">
    <w:name w:val="Revision"/>
    <w:hidden/>
    <w:uiPriority w:val="99"/>
    <w:semiHidden/>
    <w:rsid w:val="006D0A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28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28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63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0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8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vapolicy.virginia.edu/policy/hrm-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Lynn M (lmm2z)</dc:creator>
  <cp:keywords/>
  <dc:description/>
  <cp:lastModifiedBy>Mitchell, Lynn M (lmm2z)</cp:lastModifiedBy>
  <cp:revision>3</cp:revision>
  <dcterms:created xsi:type="dcterms:W3CDTF">2023-04-25T13:46:00Z</dcterms:created>
  <dcterms:modified xsi:type="dcterms:W3CDTF">2023-04-25T13:49:00Z</dcterms:modified>
</cp:coreProperties>
</file>