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0F827" w14:textId="77777777" w:rsidR="00AE3884" w:rsidRDefault="00AE3884" w:rsidP="00AE3884">
      <w:pPr>
        <w:jc w:val="center"/>
        <w:rPr>
          <w:rFonts w:ascii="Book Antiqua" w:hAnsi="Book Antiqua"/>
          <w:b/>
          <w:sz w:val="24"/>
          <w:szCs w:val="24"/>
        </w:rPr>
      </w:pPr>
      <w:bookmarkStart w:id="0" w:name="_GoBack"/>
      <w:bookmarkEnd w:id="0"/>
      <w:r>
        <w:rPr>
          <w:rFonts w:ascii="Book Antiqua" w:hAnsi="Book Antiqua"/>
          <w:b/>
          <w:sz w:val="24"/>
          <w:szCs w:val="24"/>
        </w:rPr>
        <w:t>Appendix</w:t>
      </w:r>
    </w:p>
    <w:tbl>
      <w:tblPr>
        <w:tblStyle w:val="TableGrid"/>
        <w:tblW w:w="0" w:type="auto"/>
        <w:tblInd w:w="0" w:type="dxa"/>
        <w:tblLook w:val="04A0" w:firstRow="1" w:lastRow="0" w:firstColumn="1" w:lastColumn="0" w:noHBand="0" w:noVBand="1"/>
      </w:tblPr>
      <w:tblGrid>
        <w:gridCol w:w="1710"/>
        <w:gridCol w:w="3595"/>
        <w:gridCol w:w="4045"/>
      </w:tblGrid>
      <w:tr w:rsidR="00AE3884" w14:paraId="3EF31FA6" w14:textId="77777777" w:rsidTr="00AE3884">
        <w:trPr>
          <w:trHeight w:val="422"/>
        </w:trPr>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9" w:type="dxa"/>
              <w:bottom w:w="0" w:type="dxa"/>
              <w:right w:w="29" w:type="dxa"/>
            </w:tcMar>
            <w:vAlign w:val="center"/>
            <w:hideMark/>
          </w:tcPr>
          <w:p w14:paraId="3E2CC4D6" w14:textId="77777777" w:rsidR="00AE3884" w:rsidRDefault="00AE3884">
            <w:pPr>
              <w:jc w:val="center"/>
              <w:rPr>
                <w:rFonts w:ascii="Book Antiqua" w:hAnsi="Book Antiqua"/>
                <w:b/>
                <w:sz w:val="18"/>
                <w:szCs w:val="18"/>
              </w:rPr>
            </w:pPr>
            <w:r>
              <w:rPr>
                <w:rFonts w:ascii="Book Antiqua" w:hAnsi="Book Antiqua"/>
                <w:b/>
                <w:sz w:val="18"/>
                <w:szCs w:val="18"/>
              </w:rPr>
              <w:t>Terms/Conditions</w:t>
            </w:r>
          </w:p>
        </w:tc>
        <w:tc>
          <w:tcPr>
            <w:tcW w:w="35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9" w:type="dxa"/>
              <w:bottom w:w="0" w:type="dxa"/>
              <w:right w:w="29" w:type="dxa"/>
            </w:tcMar>
            <w:vAlign w:val="center"/>
            <w:hideMark/>
          </w:tcPr>
          <w:p w14:paraId="56882952" w14:textId="77777777" w:rsidR="00AE3884" w:rsidRDefault="00AE3884">
            <w:pPr>
              <w:jc w:val="center"/>
              <w:rPr>
                <w:rFonts w:ascii="Book Antiqua" w:hAnsi="Book Antiqua"/>
                <w:b/>
                <w:sz w:val="18"/>
                <w:szCs w:val="18"/>
              </w:rPr>
            </w:pPr>
            <w:r>
              <w:rPr>
                <w:rFonts w:ascii="Book Antiqua" w:hAnsi="Book Antiqua"/>
                <w:b/>
                <w:sz w:val="18"/>
                <w:szCs w:val="18"/>
              </w:rPr>
              <w:t>Gift</w:t>
            </w:r>
          </w:p>
        </w:tc>
        <w:tc>
          <w:tcPr>
            <w:tcW w:w="4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9" w:type="dxa"/>
              <w:bottom w:w="0" w:type="dxa"/>
              <w:right w:w="29" w:type="dxa"/>
            </w:tcMar>
            <w:vAlign w:val="center"/>
            <w:hideMark/>
          </w:tcPr>
          <w:p w14:paraId="40A617FD" w14:textId="77777777" w:rsidR="00AE3884" w:rsidRDefault="00AE3884">
            <w:pPr>
              <w:jc w:val="center"/>
              <w:rPr>
                <w:rFonts w:ascii="Book Antiqua" w:hAnsi="Book Antiqua"/>
                <w:b/>
                <w:sz w:val="18"/>
                <w:szCs w:val="18"/>
              </w:rPr>
            </w:pPr>
            <w:r>
              <w:rPr>
                <w:rFonts w:ascii="Book Antiqua" w:hAnsi="Book Antiqua"/>
                <w:b/>
                <w:sz w:val="18"/>
                <w:szCs w:val="18"/>
              </w:rPr>
              <w:t>Sponsored Program</w:t>
            </w:r>
          </w:p>
        </w:tc>
      </w:tr>
      <w:tr w:rsidR="00AE3884" w14:paraId="24132A06" w14:textId="77777777" w:rsidTr="00AE3884">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9" w:type="dxa"/>
              <w:bottom w:w="0" w:type="dxa"/>
              <w:right w:w="29" w:type="dxa"/>
            </w:tcMar>
            <w:hideMark/>
          </w:tcPr>
          <w:p w14:paraId="1011FBE0" w14:textId="77777777" w:rsidR="00AE3884" w:rsidRDefault="00AE3884">
            <w:pPr>
              <w:rPr>
                <w:rFonts w:ascii="Book Antiqua" w:hAnsi="Book Antiqua"/>
                <w:b/>
                <w:sz w:val="18"/>
                <w:szCs w:val="18"/>
              </w:rPr>
            </w:pPr>
            <w:r>
              <w:rPr>
                <w:rFonts w:ascii="Book Antiqua" w:hAnsi="Book Antiqua"/>
                <w:b/>
                <w:sz w:val="18"/>
                <w:szCs w:val="18"/>
              </w:rPr>
              <w:t>General</w:t>
            </w:r>
          </w:p>
        </w:tc>
        <w:tc>
          <w:tcPr>
            <w:tcW w:w="3595"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1CF86850" w14:textId="77777777" w:rsidR="00AE3884" w:rsidRDefault="00AE3884" w:rsidP="00AE3884">
            <w:pPr>
              <w:pStyle w:val="ListParagraph"/>
              <w:numPr>
                <w:ilvl w:val="0"/>
                <w:numId w:val="9"/>
              </w:numPr>
              <w:ind w:left="504"/>
              <w:rPr>
                <w:rFonts w:ascii="Book Antiqua" w:hAnsi="Book Antiqua"/>
                <w:sz w:val="18"/>
                <w:szCs w:val="18"/>
              </w:rPr>
            </w:pPr>
            <w:r>
              <w:rPr>
                <w:rFonts w:ascii="Book Antiqua" w:hAnsi="Book Antiqua"/>
                <w:sz w:val="18"/>
                <w:szCs w:val="18"/>
              </w:rPr>
              <w:t>Donor may restrict use to a specific area or broadly defined activities such as professorships, endowments, building projects, instructional programs, or unrestricted research.</w:t>
            </w:r>
          </w:p>
          <w:p w14:paraId="00C697CA" w14:textId="77777777" w:rsidR="00AE3884" w:rsidRDefault="00AE3884" w:rsidP="00AE3884">
            <w:pPr>
              <w:pStyle w:val="ListParagraph"/>
              <w:numPr>
                <w:ilvl w:val="0"/>
                <w:numId w:val="9"/>
              </w:numPr>
              <w:ind w:left="504"/>
              <w:rPr>
                <w:rFonts w:ascii="Book Antiqua" w:hAnsi="Book Antiqua"/>
                <w:sz w:val="18"/>
                <w:szCs w:val="18"/>
              </w:rPr>
            </w:pPr>
            <w:r>
              <w:rPr>
                <w:rFonts w:ascii="Book Antiqua" w:hAnsi="Book Antiqua"/>
                <w:sz w:val="18"/>
                <w:szCs w:val="18"/>
              </w:rPr>
              <w:t xml:space="preserve">Award is irrevocable </w:t>
            </w:r>
          </w:p>
        </w:tc>
        <w:tc>
          <w:tcPr>
            <w:tcW w:w="4045"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5DB9C1E0" w14:textId="77777777" w:rsidR="00AE3884" w:rsidRDefault="00AE3884" w:rsidP="00AE3884">
            <w:pPr>
              <w:pStyle w:val="ListParagraph"/>
              <w:numPr>
                <w:ilvl w:val="0"/>
                <w:numId w:val="9"/>
              </w:numPr>
              <w:ind w:left="504"/>
              <w:rPr>
                <w:rFonts w:ascii="Book Antiqua" w:hAnsi="Book Antiqua"/>
                <w:sz w:val="18"/>
                <w:szCs w:val="18"/>
              </w:rPr>
            </w:pPr>
            <w:r>
              <w:rPr>
                <w:rFonts w:ascii="Book Antiqua" w:hAnsi="Book Antiqua"/>
                <w:sz w:val="18"/>
                <w:szCs w:val="18"/>
              </w:rPr>
              <w:t>Recipient is obligated to a specified set of deliverables.</w:t>
            </w:r>
          </w:p>
          <w:p w14:paraId="3A4F8FA2" w14:textId="77777777" w:rsidR="00AE3884" w:rsidRDefault="00AE3884" w:rsidP="00AE3884">
            <w:pPr>
              <w:pStyle w:val="ListParagraph"/>
              <w:numPr>
                <w:ilvl w:val="0"/>
                <w:numId w:val="9"/>
              </w:numPr>
              <w:ind w:left="504"/>
              <w:rPr>
                <w:rFonts w:ascii="Book Antiqua" w:hAnsi="Book Antiqua"/>
                <w:sz w:val="18"/>
                <w:szCs w:val="18"/>
              </w:rPr>
            </w:pPr>
            <w:r>
              <w:rPr>
                <w:rFonts w:ascii="Book Antiqua" w:hAnsi="Book Antiqua"/>
                <w:sz w:val="18"/>
                <w:szCs w:val="18"/>
              </w:rPr>
              <w:t>Sponsor requires the delivery of specific goods or services by the University.</w:t>
            </w:r>
          </w:p>
          <w:p w14:paraId="19461651" w14:textId="161D2FD3" w:rsidR="00AE3884" w:rsidRDefault="00AE3884" w:rsidP="00AE3884">
            <w:pPr>
              <w:pStyle w:val="ListParagraph"/>
              <w:numPr>
                <w:ilvl w:val="0"/>
                <w:numId w:val="9"/>
              </w:numPr>
              <w:ind w:left="504"/>
              <w:rPr>
                <w:rFonts w:ascii="Book Antiqua" w:hAnsi="Book Antiqua"/>
                <w:sz w:val="18"/>
                <w:szCs w:val="18"/>
              </w:rPr>
            </w:pPr>
            <w:r>
              <w:rPr>
                <w:rFonts w:ascii="Book Antiqua" w:hAnsi="Book Antiqua"/>
                <w:sz w:val="18"/>
                <w:szCs w:val="18"/>
              </w:rPr>
              <w:t xml:space="preserve">Sponsor is federal, state, or local government OR an entity that </w:t>
            </w:r>
            <w:r w:rsidR="00697267">
              <w:rPr>
                <w:rFonts w:ascii="Book Antiqua" w:hAnsi="Book Antiqua"/>
                <w:sz w:val="18"/>
                <w:szCs w:val="18"/>
              </w:rPr>
              <w:t>is</w:t>
            </w:r>
            <w:r>
              <w:rPr>
                <w:rFonts w:ascii="Book Antiqua" w:hAnsi="Book Antiqua"/>
                <w:sz w:val="18"/>
                <w:szCs w:val="18"/>
              </w:rPr>
              <w:t xml:space="preserve"> flow</w:t>
            </w:r>
            <w:r w:rsidR="00697267">
              <w:rPr>
                <w:rFonts w:ascii="Book Antiqua" w:hAnsi="Book Antiqua"/>
                <w:sz w:val="18"/>
                <w:szCs w:val="18"/>
              </w:rPr>
              <w:t xml:space="preserve">ing </w:t>
            </w:r>
            <w:r>
              <w:rPr>
                <w:rFonts w:ascii="Book Antiqua" w:hAnsi="Book Antiqua"/>
                <w:sz w:val="18"/>
                <w:szCs w:val="18"/>
              </w:rPr>
              <w:t>through of federal, state, or local government funds.</w:t>
            </w:r>
          </w:p>
          <w:p w14:paraId="30D2DA73" w14:textId="77777777" w:rsidR="00AE3884" w:rsidRDefault="00AE3884" w:rsidP="00AE3884">
            <w:pPr>
              <w:pStyle w:val="ListParagraph"/>
              <w:numPr>
                <w:ilvl w:val="0"/>
                <w:numId w:val="9"/>
              </w:numPr>
              <w:ind w:left="504"/>
              <w:rPr>
                <w:rFonts w:ascii="Book Antiqua" w:hAnsi="Book Antiqua"/>
                <w:sz w:val="18"/>
                <w:szCs w:val="18"/>
              </w:rPr>
            </w:pPr>
            <w:r>
              <w:rPr>
                <w:rFonts w:ascii="Book Antiqua" w:hAnsi="Book Antiqua"/>
                <w:sz w:val="18"/>
                <w:szCs w:val="18"/>
              </w:rPr>
              <w:t>Award is revocable if terms are not met or funds are not expended.</w:t>
            </w:r>
          </w:p>
        </w:tc>
      </w:tr>
      <w:tr w:rsidR="00AE3884" w14:paraId="0FF6E9AB" w14:textId="77777777" w:rsidTr="00AE3884">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9" w:type="dxa"/>
              <w:bottom w:w="0" w:type="dxa"/>
              <w:right w:w="29" w:type="dxa"/>
            </w:tcMar>
            <w:hideMark/>
          </w:tcPr>
          <w:p w14:paraId="0E3FDD28" w14:textId="77777777" w:rsidR="00AE3884" w:rsidRDefault="00AE3884">
            <w:pPr>
              <w:rPr>
                <w:rFonts w:ascii="Book Antiqua" w:hAnsi="Book Antiqua"/>
                <w:b/>
                <w:sz w:val="18"/>
                <w:szCs w:val="18"/>
              </w:rPr>
            </w:pPr>
            <w:r>
              <w:rPr>
                <w:rFonts w:ascii="Book Antiqua" w:hAnsi="Book Antiqua"/>
                <w:b/>
                <w:sz w:val="18"/>
                <w:szCs w:val="18"/>
              </w:rPr>
              <w:t>Publication and Reporting</w:t>
            </w:r>
          </w:p>
        </w:tc>
        <w:tc>
          <w:tcPr>
            <w:tcW w:w="3595"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tcPr>
          <w:p w14:paraId="43140B1E" w14:textId="77777777" w:rsidR="00AE3884" w:rsidRDefault="00AE3884" w:rsidP="00AE3884">
            <w:pPr>
              <w:pStyle w:val="ListParagraph"/>
              <w:numPr>
                <w:ilvl w:val="0"/>
                <w:numId w:val="9"/>
              </w:numPr>
              <w:ind w:left="504"/>
              <w:rPr>
                <w:rFonts w:ascii="Book Antiqua" w:hAnsi="Book Antiqua"/>
                <w:sz w:val="18"/>
                <w:szCs w:val="18"/>
              </w:rPr>
            </w:pPr>
            <w:r>
              <w:rPr>
                <w:rFonts w:ascii="Book Antiqua" w:hAnsi="Book Antiqua"/>
                <w:sz w:val="18"/>
                <w:szCs w:val="18"/>
              </w:rPr>
              <w:t xml:space="preserve">Donor may request copies of publications that result from work supported with donated funds and ask to be acknowledged in such publications. </w:t>
            </w:r>
          </w:p>
          <w:p w14:paraId="72FB5197" w14:textId="77777777" w:rsidR="00AE3884" w:rsidRDefault="00AE3884" w:rsidP="00AE3884">
            <w:pPr>
              <w:pStyle w:val="ListParagraph"/>
              <w:numPr>
                <w:ilvl w:val="0"/>
                <w:numId w:val="9"/>
              </w:numPr>
              <w:ind w:left="504"/>
              <w:rPr>
                <w:rFonts w:ascii="Book Antiqua" w:hAnsi="Book Antiqua"/>
                <w:sz w:val="18"/>
                <w:szCs w:val="18"/>
              </w:rPr>
            </w:pPr>
            <w:r>
              <w:rPr>
                <w:rFonts w:ascii="Book Antiqua" w:hAnsi="Book Antiqua"/>
                <w:sz w:val="18"/>
                <w:szCs w:val="18"/>
              </w:rPr>
              <w:t>Donor may request annual progress reports or a summary of the types of activities supported or other stewardship reports.</w:t>
            </w:r>
          </w:p>
          <w:p w14:paraId="2E7609F0" w14:textId="77777777" w:rsidR="00AE3884" w:rsidRDefault="00AE3884">
            <w:pPr>
              <w:pStyle w:val="ListParagraph"/>
              <w:ind w:left="504"/>
              <w:rPr>
                <w:rFonts w:ascii="Book Antiqua" w:hAnsi="Book Antiqua"/>
                <w:sz w:val="18"/>
                <w:szCs w:val="18"/>
              </w:rPr>
            </w:pPr>
          </w:p>
        </w:tc>
        <w:tc>
          <w:tcPr>
            <w:tcW w:w="4045"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01680E3D" w14:textId="77777777" w:rsidR="00AE3884" w:rsidRDefault="00AE3884" w:rsidP="00AE3884">
            <w:pPr>
              <w:pStyle w:val="ListParagraph"/>
              <w:numPr>
                <w:ilvl w:val="0"/>
                <w:numId w:val="9"/>
              </w:numPr>
              <w:ind w:left="504"/>
              <w:rPr>
                <w:rFonts w:ascii="Book Antiqua" w:hAnsi="Book Antiqua"/>
                <w:sz w:val="18"/>
                <w:szCs w:val="18"/>
              </w:rPr>
            </w:pPr>
            <w:r>
              <w:rPr>
                <w:rFonts w:ascii="Book Antiqua" w:hAnsi="Book Antiqua"/>
                <w:sz w:val="18"/>
                <w:szCs w:val="18"/>
              </w:rPr>
              <w:t>Terms of the award may require publications dealing with substantive aspects of the work. Investigator is obligated to report project results.</w:t>
            </w:r>
          </w:p>
        </w:tc>
      </w:tr>
      <w:tr w:rsidR="00AE3884" w14:paraId="69BF7217" w14:textId="77777777" w:rsidTr="00AE3884">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9" w:type="dxa"/>
              <w:bottom w:w="0" w:type="dxa"/>
              <w:right w:w="29" w:type="dxa"/>
            </w:tcMar>
            <w:hideMark/>
          </w:tcPr>
          <w:p w14:paraId="0E6EFEBF" w14:textId="77777777" w:rsidR="00AE3884" w:rsidRDefault="00AE3884">
            <w:pPr>
              <w:rPr>
                <w:rFonts w:ascii="Book Antiqua" w:hAnsi="Book Antiqua"/>
                <w:b/>
                <w:sz w:val="18"/>
                <w:szCs w:val="18"/>
              </w:rPr>
            </w:pPr>
            <w:r>
              <w:rPr>
                <w:rFonts w:ascii="Book Antiqua" w:hAnsi="Book Antiqua"/>
                <w:b/>
                <w:sz w:val="18"/>
                <w:szCs w:val="18"/>
              </w:rPr>
              <w:t>Accounting and Financial Reports</w:t>
            </w:r>
          </w:p>
        </w:tc>
        <w:tc>
          <w:tcPr>
            <w:tcW w:w="3595"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532F9826" w14:textId="77777777" w:rsidR="00AE3884" w:rsidRDefault="00AE3884" w:rsidP="00AE3884">
            <w:pPr>
              <w:pStyle w:val="ListParagraph"/>
              <w:numPr>
                <w:ilvl w:val="0"/>
                <w:numId w:val="9"/>
              </w:numPr>
              <w:ind w:left="504"/>
              <w:rPr>
                <w:rFonts w:ascii="Book Antiqua" w:hAnsi="Book Antiqua"/>
                <w:sz w:val="18"/>
                <w:szCs w:val="18"/>
              </w:rPr>
            </w:pPr>
            <w:r>
              <w:rPr>
                <w:rFonts w:ascii="Book Antiqua" w:hAnsi="Book Antiqua"/>
                <w:sz w:val="18"/>
                <w:szCs w:val="18"/>
              </w:rPr>
              <w:t>Donor may require that the funds be established in a separate account and that the donor receive an annual statement of total funds expended.</w:t>
            </w:r>
          </w:p>
          <w:p w14:paraId="63ECD92F" w14:textId="77777777" w:rsidR="00AE3884" w:rsidRDefault="00AE3884" w:rsidP="00AE3884">
            <w:pPr>
              <w:pStyle w:val="ListParagraph"/>
              <w:numPr>
                <w:ilvl w:val="0"/>
                <w:numId w:val="9"/>
              </w:numPr>
              <w:ind w:left="504"/>
              <w:rPr>
                <w:rFonts w:ascii="Book Antiqua" w:hAnsi="Book Antiqua"/>
                <w:sz w:val="18"/>
                <w:szCs w:val="18"/>
              </w:rPr>
            </w:pPr>
            <w:r>
              <w:rPr>
                <w:rFonts w:ascii="Book Antiqua" w:hAnsi="Book Antiqua"/>
                <w:sz w:val="18"/>
                <w:szCs w:val="18"/>
              </w:rPr>
              <w:t>Smaller gifts do not usually require accounting statements.</w:t>
            </w:r>
          </w:p>
        </w:tc>
        <w:tc>
          <w:tcPr>
            <w:tcW w:w="4045"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1054CD79" w14:textId="77777777" w:rsidR="00AE3884" w:rsidRDefault="00AE3884" w:rsidP="00AE3884">
            <w:pPr>
              <w:pStyle w:val="ListParagraph"/>
              <w:numPr>
                <w:ilvl w:val="0"/>
                <w:numId w:val="9"/>
              </w:numPr>
              <w:ind w:left="504"/>
              <w:rPr>
                <w:rFonts w:ascii="Book Antiqua" w:hAnsi="Book Antiqua"/>
                <w:sz w:val="18"/>
                <w:szCs w:val="18"/>
              </w:rPr>
            </w:pPr>
            <w:r>
              <w:rPr>
                <w:rFonts w:ascii="Book Antiqua" w:hAnsi="Book Antiqua"/>
                <w:sz w:val="18"/>
                <w:szCs w:val="18"/>
              </w:rPr>
              <w:t>Award includes a line item budget that identifies expenses by activity, function, or project period and may need to be reported against.</w:t>
            </w:r>
          </w:p>
          <w:p w14:paraId="205B55EE" w14:textId="77777777" w:rsidR="00AE3884" w:rsidRDefault="00AE3884" w:rsidP="00AE3884">
            <w:pPr>
              <w:pStyle w:val="ListParagraph"/>
              <w:numPr>
                <w:ilvl w:val="0"/>
                <w:numId w:val="9"/>
              </w:numPr>
              <w:ind w:left="504"/>
              <w:rPr>
                <w:rFonts w:ascii="Book Antiqua" w:hAnsi="Book Antiqua"/>
                <w:sz w:val="18"/>
                <w:szCs w:val="18"/>
              </w:rPr>
            </w:pPr>
            <w:r>
              <w:rPr>
                <w:rFonts w:ascii="Book Antiqua" w:hAnsi="Book Antiqua"/>
                <w:sz w:val="18"/>
                <w:szCs w:val="18"/>
              </w:rPr>
              <w:t>Award includes budgetary constraints such as limits on budget categories, or the sponsor requires prior approval or other controls over expenditures.</w:t>
            </w:r>
          </w:p>
          <w:p w14:paraId="6AFC3D10" w14:textId="77777777" w:rsidR="00AE3884" w:rsidRDefault="00AE3884" w:rsidP="00AE3884">
            <w:pPr>
              <w:pStyle w:val="ListParagraph"/>
              <w:numPr>
                <w:ilvl w:val="0"/>
                <w:numId w:val="9"/>
              </w:numPr>
              <w:ind w:left="504"/>
              <w:rPr>
                <w:rFonts w:ascii="Book Antiqua" w:hAnsi="Book Antiqua"/>
                <w:sz w:val="18"/>
                <w:szCs w:val="18"/>
              </w:rPr>
            </w:pPr>
            <w:r>
              <w:rPr>
                <w:rFonts w:ascii="Book Antiqua" w:hAnsi="Book Antiqua"/>
                <w:sz w:val="18"/>
                <w:szCs w:val="18"/>
              </w:rPr>
              <w:t xml:space="preserve">Award payments could be contingent upon University programmatic or fiscal reporting (e.g., milestones, invoices). </w:t>
            </w:r>
          </w:p>
        </w:tc>
      </w:tr>
      <w:tr w:rsidR="00AE3884" w14:paraId="4F8A40BC" w14:textId="77777777" w:rsidTr="00AE3884">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9" w:type="dxa"/>
              <w:bottom w:w="0" w:type="dxa"/>
              <w:right w:w="29" w:type="dxa"/>
            </w:tcMar>
            <w:hideMark/>
          </w:tcPr>
          <w:p w14:paraId="7088D01E" w14:textId="77777777" w:rsidR="00AE3884" w:rsidRDefault="00AE3884">
            <w:pPr>
              <w:rPr>
                <w:rFonts w:ascii="Book Antiqua" w:hAnsi="Book Antiqua"/>
                <w:b/>
                <w:sz w:val="18"/>
                <w:szCs w:val="18"/>
              </w:rPr>
            </w:pPr>
            <w:r>
              <w:rPr>
                <w:rFonts w:ascii="Book Antiqua" w:hAnsi="Book Antiqua"/>
                <w:b/>
                <w:sz w:val="18"/>
                <w:szCs w:val="18"/>
              </w:rPr>
              <w:t>Indirect Costs</w:t>
            </w:r>
          </w:p>
        </w:tc>
        <w:tc>
          <w:tcPr>
            <w:tcW w:w="3595"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4BA50117" w14:textId="77777777" w:rsidR="00AE3884" w:rsidRDefault="00AE3884" w:rsidP="00AE3884">
            <w:pPr>
              <w:pStyle w:val="ListParagraph"/>
              <w:numPr>
                <w:ilvl w:val="0"/>
                <w:numId w:val="9"/>
              </w:numPr>
              <w:ind w:left="504"/>
              <w:rPr>
                <w:rFonts w:ascii="Book Antiqua" w:hAnsi="Book Antiqua"/>
                <w:sz w:val="18"/>
                <w:szCs w:val="18"/>
              </w:rPr>
            </w:pPr>
            <w:r>
              <w:rPr>
                <w:rFonts w:ascii="Book Antiqua" w:hAnsi="Book Antiqua"/>
                <w:sz w:val="18"/>
                <w:szCs w:val="18"/>
              </w:rPr>
              <w:t>Gifts do not provide for indirect cost recovery</w:t>
            </w:r>
          </w:p>
        </w:tc>
        <w:tc>
          <w:tcPr>
            <w:tcW w:w="4045"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1427A24E" w14:textId="77777777" w:rsidR="00AE3884" w:rsidRDefault="00AE3884" w:rsidP="00AE3884">
            <w:pPr>
              <w:pStyle w:val="ListParagraph"/>
              <w:numPr>
                <w:ilvl w:val="0"/>
                <w:numId w:val="9"/>
              </w:numPr>
              <w:ind w:left="504"/>
              <w:rPr>
                <w:rFonts w:ascii="Book Antiqua" w:hAnsi="Book Antiqua"/>
                <w:sz w:val="18"/>
                <w:szCs w:val="18"/>
              </w:rPr>
            </w:pPr>
            <w:r>
              <w:rPr>
                <w:rFonts w:ascii="Book Antiqua" w:hAnsi="Book Antiqua"/>
                <w:sz w:val="18"/>
                <w:szCs w:val="18"/>
              </w:rPr>
              <w:t xml:space="preserve">Sponsor has written policies governing indirect cost recoveries. </w:t>
            </w:r>
            <w:r>
              <w:rPr>
                <w:rFonts w:ascii="Book Antiqua" w:hAnsi="Book Antiqua"/>
                <w:b/>
                <w:sz w:val="18"/>
                <w:szCs w:val="18"/>
              </w:rPr>
              <w:t>Note</w:t>
            </w:r>
            <w:r>
              <w:rPr>
                <w:rFonts w:ascii="Book Antiqua" w:hAnsi="Book Antiqua"/>
                <w:sz w:val="18"/>
                <w:szCs w:val="18"/>
              </w:rPr>
              <w:t xml:space="preserve">: the absence of a policy does not preclude the award from being a sponsored program. </w:t>
            </w:r>
          </w:p>
        </w:tc>
      </w:tr>
      <w:tr w:rsidR="00AE3884" w14:paraId="539044E6" w14:textId="77777777" w:rsidTr="00AE3884">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9" w:type="dxa"/>
              <w:bottom w:w="0" w:type="dxa"/>
              <w:right w:w="29" w:type="dxa"/>
            </w:tcMar>
            <w:hideMark/>
          </w:tcPr>
          <w:p w14:paraId="05E24132" w14:textId="77777777" w:rsidR="00AE3884" w:rsidRDefault="00AE3884">
            <w:pPr>
              <w:rPr>
                <w:rFonts w:ascii="Book Antiqua" w:hAnsi="Book Antiqua"/>
                <w:b/>
                <w:sz w:val="18"/>
                <w:szCs w:val="18"/>
              </w:rPr>
            </w:pPr>
            <w:r>
              <w:rPr>
                <w:rFonts w:ascii="Book Antiqua" w:hAnsi="Book Antiqua"/>
                <w:b/>
                <w:sz w:val="18"/>
                <w:szCs w:val="18"/>
              </w:rPr>
              <w:t>Program Direction or Mentoring</w:t>
            </w:r>
          </w:p>
        </w:tc>
        <w:tc>
          <w:tcPr>
            <w:tcW w:w="3595"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53EBC6EC" w14:textId="77777777" w:rsidR="00AE3884" w:rsidRDefault="00AE3884" w:rsidP="00AE3884">
            <w:pPr>
              <w:pStyle w:val="ListParagraph"/>
              <w:numPr>
                <w:ilvl w:val="0"/>
                <w:numId w:val="9"/>
              </w:numPr>
              <w:ind w:left="504"/>
              <w:rPr>
                <w:rFonts w:ascii="Book Antiqua" w:hAnsi="Book Antiqua"/>
                <w:sz w:val="18"/>
                <w:szCs w:val="18"/>
              </w:rPr>
            </w:pPr>
            <w:r>
              <w:rPr>
                <w:rFonts w:ascii="Book Antiqua" w:hAnsi="Book Antiqua"/>
                <w:sz w:val="18"/>
                <w:szCs w:val="18"/>
              </w:rPr>
              <w:t>Donor may identify an individual in the funder organization as a point of contact, particularly if that person works in university relations or philanthropic functions of the entity.</w:t>
            </w:r>
          </w:p>
        </w:tc>
        <w:tc>
          <w:tcPr>
            <w:tcW w:w="4045"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173B2893" w14:textId="77777777" w:rsidR="00AE3884" w:rsidRDefault="00AE3884" w:rsidP="00AE3884">
            <w:pPr>
              <w:pStyle w:val="ListParagraph"/>
              <w:numPr>
                <w:ilvl w:val="0"/>
                <w:numId w:val="9"/>
              </w:numPr>
              <w:ind w:left="504"/>
              <w:rPr>
                <w:rFonts w:ascii="Book Antiqua" w:hAnsi="Book Antiqua"/>
                <w:sz w:val="18"/>
                <w:szCs w:val="18"/>
              </w:rPr>
            </w:pPr>
            <w:r>
              <w:rPr>
                <w:rFonts w:ascii="Book Antiqua" w:hAnsi="Book Antiqua"/>
                <w:sz w:val="18"/>
                <w:szCs w:val="18"/>
              </w:rPr>
              <w:t xml:space="preserve">Sponsor identifies a technical monitor who is responsible for monitoring performance. </w:t>
            </w:r>
          </w:p>
        </w:tc>
      </w:tr>
      <w:tr w:rsidR="00AE3884" w14:paraId="7B9A2659" w14:textId="77777777" w:rsidTr="00AE3884">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9" w:type="dxa"/>
              <w:bottom w:w="0" w:type="dxa"/>
              <w:right w:w="29" w:type="dxa"/>
            </w:tcMar>
            <w:hideMark/>
          </w:tcPr>
          <w:p w14:paraId="60B01FEB" w14:textId="77777777" w:rsidR="00AE3884" w:rsidRDefault="00AE3884">
            <w:pPr>
              <w:rPr>
                <w:rFonts w:ascii="Book Antiqua" w:hAnsi="Book Antiqua"/>
                <w:b/>
                <w:sz w:val="18"/>
                <w:szCs w:val="18"/>
              </w:rPr>
            </w:pPr>
            <w:r>
              <w:rPr>
                <w:rFonts w:ascii="Book Antiqua" w:hAnsi="Book Antiqua"/>
                <w:b/>
                <w:sz w:val="18"/>
                <w:szCs w:val="18"/>
              </w:rPr>
              <w:t>Period of Performance</w:t>
            </w:r>
          </w:p>
        </w:tc>
        <w:tc>
          <w:tcPr>
            <w:tcW w:w="3595"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5FC55795" w14:textId="77777777" w:rsidR="00AE3884" w:rsidRDefault="00AE3884" w:rsidP="00AE3884">
            <w:pPr>
              <w:pStyle w:val="ListParagraph"/>
              <w:numPr>
                <w:ilvl w:val="0"/>
                <w:numId w:val="9"/>
              </w:numPr>
              <w:ind w:left="504"/>
              <w:rPr>
                <w:rFonts w:ascii="Book Antiqua" w:hAnsi="Book Antiqua"/>
                <w:sz w:val="18"/>
                <w:szCs w:val="18"/>
              </w:rPr>
            </w:pPr>
            <w:r>
              <w:rPr>
                <w:rFonts w:ascii="Book Antiqua" w:hAnsi="Book Antiqua"/>
                <w:sz w:val="18"/>
                <w:szCs w:val="18"/>
              </w:rPr>
              <w:t>A period of performance is not normally included, but one may be stated as a general expectation.</w:t>
            </w:r>
          </w:p>
        </w:tc>
        <w:tc>
          <w:tcPr>
            <w:tcW w:w="4045"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30BDC778" w14:textId="77777777" w:rsidR="00AE3884" w:rsidRDefault="00AE3884" w:rsidP="00AE3884">
            <w:pPr>
              <w:pStyle w:val="ListParagraph"/>
              <w:numPr>
                <w:ilvl w:val="0"/>
                <w:numId w:val="9"/>
              </w:numPr>
              <w:ind w:left="504"/>
              <w:rPr>
                <w:rFonts w:ascii="Book Antiqua" w:hAnsi="Book Antiqua"/>
                <w:sz w:val="18"/>
                <w:szCs w:val="18"/>
              </w:rPr>
            </w:pPr>
            <w:r>
              <w:rPr>
                <w:rFonts w:ascii="Book Antiqua" w:hAnsi="Book Antiqua"/>
                <w:sz w:val="18"/>
                <w:szCs w:val="18"/>
              </w:rPr>
              <w:t xml:space="preserve">Terms include a period of performance that is specific for defining </w:t>
            </w:r>
            <w:proofErr w:type="spellStart"/>
            <w:r>
              <w:rPr>
                <w:rFonts w:ascii="Book Antiqua" w:hAnsi="Book Antiqua"/>
                <w:sz w:val="18"/>
                <w:szCs w:val="18"/>
              </w:rPr>
              <w:t>allowability</w:t>
            </w:r>
            <w:proofErr w:type="spellEnd"/>
            <w:r>
              <w:rPr>
                <w:rFonts w:ascii="Book Antiqua" w:hAnsi="Book Antiqua"/>
                <w:sz w:val="18"/>
                <w:szCs w:val="18"/>
              </w:rPr>
              <w:t xml:space="preserve"> of expenditures or other purposes.</w:t>
            </w:r>
          </w:p>
        </w:tc>
      </w:tr>
      <w:tr w:rsidR="00AE3884" w14:paraId="1155A477" w14:textId="77777777" w:rsidTr="00AE3884">
        <w:trPr>
          <w:trHeight w:val="611"/>
        </w:trPr>
        <w:tc>
          <w:tcPr>
            <w:tcW w:w="93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9" w:type="dxa"/>
              <w:bottom w:w="0" w:type="dxa"/>
              <w:right w:w="29" w:type="dxa"/>
            </w:tcMar>
            <w:vAlign w:val="center"/>
            <w:hideMark/>
          </w:tcPr>
          <w:p w14:paraId="63BE29C7" w14:textId="77777777" w:rsidR="00AE3884" w:rsidRDefault="00AE3884">
            <w:pPr>
              <w:rPr>
                <w:rFonts w:ascii="Book Antiqua" w:hAnsi="Book Antiqua"/>
                <w:b/>
                <w:sz w:val="18"/>
                <w:szCs w:val="18"/>
              </w:rPr>
            </w:pPr>
            <w:r>
              <w:rPr>
                <w:rStyle w:val="Strong"/>
                <w:rFonts w:ascii="Book Antiqua" w:hAnsi="Book Antiqua" w:cs="Arial"/>
                <w:sz w:val="18"/>
                <w:szCs w:val="18"/>
              </w:rPr>
              <w:t xml:space="preserve">If an agreement includes </w:t>
            </w:r>
            <w:r>
              <w:rPr>
                <w:rStyle w:val="Strong"/>
                <w:rFonts w:ascii="Book Antiqua" w:hAnsi="Book Antiqua" w:cs="Arial"/>
                <w:sz w:val="18"/>
                <w:szCs w:val="18"/>
                <w:u w:val="single"/>
              </w:rPr>
              <w:t>any</w:t>
            </w:r>
            <w:r>
              <w:rPr>
                <w:rStyle w:val="Strong"/>
                <w:rFonts w:ascii="Book Antiqua" w:hAnsi="Book Antiqua" w:cs="Arial"/>
                <w:sz w:val="18"/>
                <w:szCs w:val="18"/>
              </w:rPr>
              <w:t xml:space="preserve"> of the following terms</w:t>
            </w:r>
            <w:r>
              <w:rPr>
                <w:rFonts w:ascii="Book Antiqua" w:hAnsi="Book Antiqua" w:cs="Arial"/>
                <w:sz w:val="18"/>
                <w:szCs w:val="18"/>
              </w:rPr>
              <w:t xml:space="preserve">, it must be established as a </w:t>
            </w:r>
            <w:r>
              <w:rPr>
                <w:rStyle w:val="Strong"/>
                <w:rFonts w:ascii="Book Antiqua" w:hAnsi="Book Antiqua" w:cs="Arial"/>
                <w:sz w:val="18"/>
                <w:szCs w:val="18"/>
              </w:rPr>
              <w:t xml:space="preserve">sponsored </w:t>
            </w:r>
            <w:r>
              <w:rPr>
                <w:rStyle w:val="Strong"/>
                <w:rFonts w:ascii="Book Antiqua" w:hAnsi="Book Antiqua"/>
                <w:sz w:val="18"/>
                <w:szCs w:val="18"/>
              </w:rPr>
              <w:t>program</w:t>
            </w:r>
            <w:r>
              <w:rPr>
                <w:rFonts w:ascii="Book Antiqua" w:hAnsi="Book Antiqua" w:cs="Arial"/>
                <w:sz w:val="18"/>
                <w:szCs w:val="18"/>
              </w:rPr>
              <w:t xml:space="preserve"> because such terms involve a related reciprocal transfer of something of value to the sponsor:</w:t>
            </w:r>
          </w:p>
        </w:tc>
      </w:tr>
      <w:tr w:rsidR="00AE3884" w14:paraId="102A7595" w14:textId="77777777" w:rsidTr="00AE3884">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9" w:type="dxa"/>
              <w:bottom w:w="0" w:type="dxa"/>
              <w:right w:w="29" w:type="dxa"/>
            </w:tcMar>
            <w:hideMark/>
          </w:tcPr>
          <w:p w14:paraId="1D9335A9" w14:textId="77777777" w:rsidR="00AE3884" w:rsidRDefault="00AE3884">
            <w:pPr>
              <w:rPr>
                <w:rFonts w:ascii="Book Antiqua" w:hAnsi="Book Antiqua"/>
                <w:b/>
                <w:sz w:val="18"/>
                <w:szCs w:val="18"/>
              </w:rPr>
            </w:pPr>
            <w:r>
              <w:rPr>
                <w:rFonts w:ascii="Book Antiqua" w:hAnsi="Book Antiqua"/>
                <w:b/>
                <w:sz w:val="18"/>
                <w:szCs w:val="18"/>
              </w:rPr>
              <w:t>Rights to Licensing and/or Intellectual Property</w:t>
            </w:r>
          </w:p>
        </w:tc>
        <w:tc>
          <w:tcPr>
            <w:tcW w:w="7640" w:type="dxa"/>
            <w:gridSpan w:val="2"/>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337E525C" w14:textId="77777777" w:rsidR="00AE3884" w:rsidRDefault="00AE3884" w:rsidP="00AE3884">
            <w:pPr>
              <w:pStyle w:val="ListParagraph"/>
              <w:numPr>
                <w:ilvl w:val="0"/>
                <w:numId w:val="9"/>
              </w:numPr>
              <w:ind w:left="504"/>
              <w:rPr>
                <w:rFonts w:ascii="Book Antiqua" w:hAnsi="Book Antiqua"/>
                <w:sz w:val="18"/>
                <w:szCs w:val="18"/>
              </w:rPr>
            </w:pPr>
            <w:r>
              <w:rPr>
                <w:rFonts w:ascii="Book Antiqua" w:hAnsi="Book Antiqua" w:cs="Arial"/>
                <w:sz w:val="18"/>
                <w:szCs w:val="18"/>
              </w:rPr>
              <w:t>Investigator is obligated to convey rights to tangible or intangible properties resulting from the program. Tangible properties include equipment, records, technical reports, theses, or dissertations. Intangible properties include rights in data, copyrights, patents or inventions.</w:t>
            </w:r>
          </w:p>
        </w:tc>
      </w:tr>
      <w:tr w:rsidR="00AE3884" w14:paraId="6CAD7C6A" w14:textId="77777777" w:rsidTr="00AE3884">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9" w:type="dxa"/>
              <w:bottom w:w="0" w:type="dxa"/>
              <w:right w:w="29" w:type="dxa"/>
            </w:tcMar>
            <w:hideMark/>
          </w:tcPr>
          <w:p w14:paraId="47ED86A8" w14:textId="77777777" w:rsidR="00AE3884" w:rsidRDefault="00AE3884">
            <w:pPr>
              <w:rPr>
                <w:rFonts w:ascii="Book Antiqua" w:hAnsi="Book Antiqua"/>
                <w:b/>
                <w:sz w:val="18"/>
                <w:szCs w:val="18"/>
              </w:rPr>
            </w:pPr>
            <w:r>
              <w:rPr>
                <w:rFonts w:ascii="Book Antiqua" w:hAnsi="Book Antiqua"/>
                <w:b/>
                <w:sz w:val="18"/>
                <w:szCs w:val="18"/>
              </w:rPr>
              <w:t>Basic Research Tax Credit</w:t>
            </w:r>
          </w:p>
        </w:tc>
        <w:tc>
          <w:tcPr>
            <w:tcW w:w="7640" w:type="dxa"/>
            <w:gridSpan w:val="2"/>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7E53B757" w14:textId="77777777" w:rsidR="00AE3884" w:rsidRDefault="00AE3884" w:rsidP="00AE3884">
            <w:pPr>
              <w:pStyle w:val="ListParagraph"/>
              <w:numPr>
                <w:ilvl w:val="0"/>
                <w:numId w:val="9"/>
              </w:numPr>
              <w:ind w:left="504"/>
              <w:rPr>
                <w:rFonts w:ascii="Book Antiqua" w:hAnsi="Book Antiqua"/>
                <w:sz w:val="18"/>
                <w:szCs w:val="18"/>
              </w:rPr>
            </w:pPr>
            <w:r>
              <w:rPr>
                <w:rFonts w:ascii="Book Antiqua" w:hAnsi="Book Antiqua" w:cs="Arial"/>
                <w:sz w:val="18"/>
                <w:szCs w:val="18"/>
              </w:rPr>
              <w:t>Stipulates that expenditures must qualify for the basic research tax credit.</w:t>
            </w:r>
          </w:p>
        </w:tc>
      </w:tr>
    </w:tbl>
    <w:p w14:paraId="568AD96E" w14:textId="77777777" w:rsidR="00AE3884" w:rsidRPr="002E3DF4" w:rsidRDefault="00AE3884" w:rsidP="002E3DF4">
      <w:pPr>
        <w:rPr>
          <w:b/>
        </w:rPr>
      </w:pPr>
    </w:p>
    <w:sectPr w:rsidR="00AE3884" w:rsidRPr="002E3DF4" w:rsidSect="00FD250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C922F" w14:textId="77777777" w:rsidR="00787D97" w:rsidRDefault="00787D97" w:rsidP="00FD2508">
      <w:pPr>
        <w:spacing w:after="0" w:line="240" w:lineRule="auto"/>
      </w:pPr>
      <w:r>
        <w:separator/>
      </w:r>
    </w:p>
  </w:endnote>
  <w:endnote w:type="continuationSeparator" w:id="0">
    <w:p w14:paraId="73846746" w14:textId="77777777" w:rsidR="00787D97" w:rsidRDefault="00787D97" w:rsidP="00FD2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25325" w14:textId="77777777" w:rsidR="00787D97" w:rsidRDefault="00787D97" w:rsidP="00FD2508">
      <w:pPr>
        <w:spacing w:after="0" w:line="240" w:lineRule="auto"/>
      </w:pPr>
      <w:r>
        <w:separator/>
      </w:r>
    </w:p>
  </w:footnote>
  <w:footnote w:type="continuationSeparator" w:id="0">
    <w:p w14:paraId="3E89135C" w14:textId="77777777" w:rsidR="00787D97" w:rsidRDefault="00787D97" w:rsidP="00FD2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B2B03"/>
    <w:multiLevelType w:val="hybridMultilevel"/>
    <w:tmpl w:val="10168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906C15"/>
    <w:multiLevelType w:val="hybridMultilevel"/>
    <w:tmpl w:val="60E25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C6CD1"/>
    <w:multiLevelType w:val="multilevel"/>
    <w:tmpl w:val="D0DE85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CC4041"/>
    <w:multiLevelType w:val="hybridMultilevel"/>
    <w:tmpl w:val="5BE85A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A54214B"/>
    <w:multiLevelType w:val="multilevel"/>
    <w:tmpl w:val="DCC63F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081470"/>
    <w:multiLevelType w:val="hybridMultilevel"/>
    <w:tmpl w:val="8B70A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4DB6F19"/>
    <w:multiLevelType w:val="multilevel"/>
    <w:tmpl w:val="BB44D1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8C059B"/>
    <w:multiLevelType w:val="hybridMultilevel"/>
    <w:tmpl w:val="91ECB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8B7665B"/>
    <w:multiLevelType w:val="hybridMultilevel"/>
    <w:tmpl w:val="0E7868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6"/>
  </w:num>
  <w:num w:numId="4">
    <w:abstractNumId w:val="8"/>
  </w:num>
  <w:num w:numId="5">
    <w:abstractNumId w:val="3"/>
  </w:num>
  <w:num w:numId="6">
    <w:abstractNumId w:val="5"/>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508"/>
    <w:rsid w:val="00030784"/>
    <w:rsid w:val="000E73DF"/>
    <w:rsid w:val="00134DB5"/>
    <w:rsid w:val="002E3DF4"/>
    <w:rsid w:val="0049326E"/>
    <w:rsid w:val="004D05AC"/>
    <w:rsid w:val="005C74CB"/>
    <w:rsid w:val="005E27C9"/>
    <w:rsid w:val="00642058"/>
    <w:rsid w:val="00697267"/>
    <w:rsid w:val="00787D97"/>
    <w:rsid w:val="00842FE0"/>
    <w:rsid w:val="008657F1"/>
    <w:rsid w:val="00950A98"/>
    <w:rsid w:val="00AE3884"/>
    <w:rsid w:val="00B5203A"/>
    <w:rsid w:val="00DB530E"/>
    <w:rsid w:val="00FD2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A2F4A"/>
  <w15:chartTrackingRefBased/>
  <w15:docId w15:val="{2D8A43C1-F7C9-4BF0-984E-579CCE367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D2508"/>
    <w:pPr>
      <w:spacing w:after="0" w:line="240" w:lineRule="auto"/>
      <w:outlineLvl w:val="0"/>
    </w:pPr>
    <w:rPr>
      <w:rFonts w:ascii="Georgia" w:eastAsia="Times New Roman" w:hAnsi="Georgia" w:cs="Times New Roman"/>
      <w:b/>
      <w:bCs/>
      <w:color w:val="333333"/>
      <w:kern w:val="36"/>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2508"/>
    <w:rPr>
      <w:rFonts w:ascii="Georgia" w:eastAsia="Times New Roman" w:hAnsi="Georgia" w:cs="Times New Roman"/>
      <w:b/>
      <w:bCs/>
      <w:color w:val="333333"/>
      <w:kern w:val="36"/>
      <w:sz w:val="28"/>
      <w:szCs w:val="28"/>
    </w:rPr>
  </w:style>
  <w:style w:type="character" w:styleId="Hyperlink">
    <w:name w:val="Hyperlink"/>
    <w:basedOn w:val="DefaultParagraphFont"/>
    <w:uiPriority w:val="99"/>
    <w:semiHidden/>
    <w:unhideWhenUsed/>
    <w:rsid w:val="00FD2508"/>
    <w:rPr>
      <w:b/>
      <w:bCs/>
      <w:strike w:val="0"/>
      <w:dstrike w:val="0"/>
      <w:color w:val="004FB9"/>
      <w:u w:val="single"/>
      <w:effect w:val="none"/>
      <w:shd w:val="clear" w:color="auto" w:fill="auto"/>
    </w:rPr>
  </w:style>
  <w:style w:type="character" w:styleId="Emphasis">
    <w:name w:val="Emphasis"/>
    <w:basedOn w:val="DefaultParagraphFont"/>
    <w:uiPriority w:val="20"/>
    <w:qFormat/>
    <w:rsid w:val="00FD2508"/>
    <w:rPr>
      <w:i/>
      <w:iCs/>
    </w:rPr>
  </w:style>
  <w:style w:type="character" w:styleId="Strong">
    <w:name w:val="Strong"/>
    <w:basedOn w:val="DefaultParagraphFont"/>
    <w:uiPriority w:val="22"/>
    <w:qFormat/>
    <w:rsid w:val="00FD2508"/>
    <w:rPr>
      <w:b/>
      <w:bCs/>
    </w:rPr>
  </w:style>
  <w:style w:type="paragraph" w:styleId="NormalWeb">
    <w:name w:val="Normal (Web)"/>
    <w:basedOn w:val="Normal"/>
    <w:uiPriority w:val="99"/>
    <w:semiHidden/>
    <w:unhideWhenUsed/>
    <w:rsid w:val="00FD2508"/>
    <w:pPr>
      <w:spacing w:after="360" w:line="240" w:lineRule="auto"/>
    </w:pPr>
    <w:rPr>
      <w:rFonts w:ascii="Times New Roman" w:eastAsia="Times New Roman" w:hAnsi="Times New Roman" w:cs="Times New Roman"/>
      <w:sz w:val="24"/>
      <w:szCs w:val="24"/>
    </w:rPr>
  </w:style>
  <w:style w:type="character" w:customStyle="1" w:styleId="date-display-single">
    <w:name w:val="date-display-single"/>
    <w:basedOn w:val="DefaultParagraphFont"/>
    <w:rsid w:val="00FD2508"/>
  </w:style>
  <w:style w:type="character" w:customStyle="1" w:styleId="views-field">
    <w:name w:val="views-field"/>
    <w:basedOn w:val="DefaultParagraphFont"/>
    <w:rsid w:val="00FD2508"/>
  </w:style>
  <w:style w:type="character" w:customStyle="1" w:styleId="views-label">
    <w:name w:val="views-label"/>
    <w:basedOn w:val="DefaultParagraphFont"/>
    <w:rsid w:val="00FD2508"/>
  </w:style>
  <w:style w:type="character" w:customStyle="1" w:styleId="field-content">
    <w:name w:val="field-content"/>
    <w:basedOn w:val="DefaultParagraphFont"/>
    <w:rsid w:val="00FD2508"/>
  </w:style>
  <w:style w:type="character" w:customStyle="1" w:styleId="term-name">
    <w:name w:val="term-name"/>
    <w:basedOn w:val="DefaultParagraphFont"/>
    <w:rsid w:val="00FD2508"/>
  </w:style>
  <w:style w:type="paragraph" w:styleId="Header">
    <w:name w:val="header"/>
    <w:basedOn w:val="Normal"/>
    <w:link w:val="HeaderChar"/>
    <w:uiPriority w:val="99"/>
    <w:unhideWhenUsed/>
    <w:rsid w:val="00FD25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508"/>
  </w:style>
  <w:style w:type="paragraph" w:styleId="Footer">
    <w:name w:val="footer"/>
    <w:basedOn w:val="Normal"/>
    <w:link w:val="FooterChar"/>
    <w:uiPriority w:val="99"/>
    <w:unhideWhenUsed/>
    <w:rsid w:val="00FD25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508"/>
  </w:style>
  <w:style w:type="character" w:styleId="CommentReference">
    <w:name w:val="annotation reference"/>
    <w:basedOn w:val="DefaultParagraphFont"/>
    <w:uiPriority w:val="99"/>
    <w:semiHidden/>
    <w:unhideWhenUsed/>
    <w:rsid w:val="00FD2508"/>
    <w:rPr>
      <w:sz w:val="16"/>
      <w:szCs w:val="16"/>
    </w:rPr>
  </w:style>
  <w:style w:type="paragraph" w:styleId="CommentText">
    <w:name w:val="annotation text"/>
    <w:basedOn w:val="Normal"/>
    <w:link w:val="CommentTextChar"/>
    <w:uiPriority w:val="99"/>
    <w:semiHidden/>
    <w:unhideWhenUsed/>
    <w:rsid w:val="00FD2508"/>
    <w:pPr>
      <w:spacing w:line="240" w:lineRule="auto"/>
    </w:pPr>
    <w:rPr>
      <w:sz w:val="20"/>
      <w:szCs w:val="20"/>
    </w:rPr>
  </w:style>
  <w:style w:type="character" w:customStyle="1" w:styleId="CommentTextChar">
    <w:name w:val="Comment Text Char"/>
    <w:basedOn w:val="DefaultParagraphFont"/>
    <w:link w:val="CommentText"/>
    <w:uiPriority w:val="99"/>
    <w:semiHidden/>
    <w:rsid w:val="00FD2508"/>
    <w:rPr>
      <w:sz w:val="20"/>
      <w:szCs w:val="20"/>
    </w:rPr>
  </w:style>
  <w:style w:type="paragraph" w:styleId="BalloonText">
    <w:name w:val="Balloon Text"/>
    <w:basedOn w:val="Normal"/>
    <w:link w:val="BalloonTextChar"/>
    <w:uiPriority w:val="99"/>
    <w:semiHidden/>
    <w:unhideWhenUsed/>
    <w:rsid w:val="00FD25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508"/>
    <w:rPr>
      <w:rFonts w:ascii="Segoe UI" w:hAnsi="Segoe UI" w:cs="Segoe UI"/>
      <w:sz w:val="18"/>
      <w:szCs w:val="18"/>
    </w:rPr>
  </w:style>
  <w:style w:type="paragraph" w:styleId="ListParagraph">
    <w:name w:val="List Paragraph"/>
    <w:basedOn w:val="Normal"/>
    <w:uiPriority w:val="34"/>
    <w:qFormat/>
    <w:rsid w:val="002E3DF4"/>
    <w:pPr>
      <w:ind w:left="720"/>
      <w:contextualSpacing/>
    </w:pPr>
  </w:style>
  <w:style w:type="table" w:styleId="TableGrid">
    <w:name w:val="Table Grid"/>
    <w:basedOn w:val="TableNormal"/>
    <w:uiPriority w:val="39"/>
    <w:rsid w:val="00AE388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50A98"/>
    <w:rPr>
      <w:b/>
      <w:bCs/>
    </w:rPr>
  </w:style>
  <w:style w:type="character" w:customStyle="1" w:styleId="CommentSubjectChar">
    <w:name w:val="Comment Subject Char"/>
    <w:basedOn w:val="CommentTextChar"/>
    <w:link w:val="CommentSubject"/>
    <w:uiPriority w:val="99"/>
    <w:semiHidden/>
    <w:rsid w:val="00950A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97299">
      <w:bodyDiv w:val="1"/>
      <w:marLeft w:val="0"/>
      <w:marRight w:val="0"/>
      <w:marTop w:val="0"/>
      <w:marBottom w:val="0"/>
      <w:divBdr>
        <w:top w:val="none" w:sz="0" w:space="0" w:color="auto"/>
        <w:left w:val="none" w:sz="0" w:space="0" w:color="auto"/>
        <w:bottom w:val="none" w:sz="0" w:space="0" w:color="auto"/>
        <w:right w:val="none" w:sz="0" w:space="0" w:color="auto"/>
      </w:divBdr>
      <w:divsChild>
        <w:div w:id="737171235">
          <w:marLeft w:val="0"/>
          <w:marRight w:val="0"/>
          <w:marTop w:val="0"/>
          <w:marBottom w:val="0"/>
          <w:divBdr>
            <w:top w:val="none" w:sz="0" w:space="0" w:color="auto"/>
            <w:left w:val="none" w:sz="0" w:space="0" w:color="auto"/>
            <w:bottom w:val="none" w:sz="0" w:space="0" w:color="auto"/>
            <w:right w:val="none" w:sz="0" w:space="0" w:color="auto"/>
          </w:divBdr>
          <w:divsChild>
            <w:div w:id="2066636661">
              <w:marLeft w:val="0"/>
              <w:marRight w:val="0"/>
              <w:marTop w:val="0"/>
              <w:marBottom w:val="0"/>
              <w:divBdr>
                <w:top w:val="none" w:sz="0" w:space="0" w:color="auto"/>
                <w:left w:val="none" w:sz="0" w:space="0" w:color="auto"/>
                <w:bottom w:val="none" w:sz="0" w:space="0" w:color="auto"/>
                <w:right w:val="none" w:sz="0" w:space="0" w:color="auto"/>
              </w:divBdr>
              <w:divsChild>
                <w:div w:id="1078215351">
                  <w:marLeft w:val="0"/>
                  <w:marRight w:val="0"/>
                  <w:marTop w:val="0"/>
                  <w:marBottom w:val="0"/>
                  <w:divBdr>
                    <w:top w:val="none" w:sz="0" w:space="0" w:color="auto"/>
                    <w:left w:val="none" w:sz="0" w:space="0" w:color="auto"/>
                    <w:bottom w:val="none" w:sz="0" w:space="0" w:color="auto"/>
                    <w:right w:val="none" w:sz="0" w:space="0" w:color="auto"/>
                  </w:divBdr>
                  <w:divsChild>
                    <w:div w:id="689524076">
                      <w:marLeft w:val="0"/>
                      <w:marRight w:val="0"/>
                      <w:marTop w:val="0"/>
                      <w:marBottom w:val="0"/>
                      <w:divBdr>
                        <w:top w:val="none" w:sz="0" w:space="0" w:color="auto"/>
                        <w:left w:val="none" w:sz="0" w:space="0" w:color="auto"/>
                        <w:bottom w:val="none" w:sz="0" w:space="0" w:color="auto"/>
                        <w:right w:val="none" w:sz="0" w:space="0" w:color="auto"/>
                      </w:divBdr>
                      <w:divsChild>
                        <w:div w:id="2086023776">
                          <w:marLeft w:val="150"/>
                          <w:marRight w:val="150"/>
                          <w:marTop w:val="0"/>
                          <w:marBottom w:val="0"/>
                          <w:divBdr>
                            <w:top w:val="none" w:sz="0" w:space="0" w:color="auto"/>
                            <w:left w:val="none" w:sz="0" w:space="0" w:color="auto"/>
                            <w:bottom w:val="none" w:sz="0" w:space="0" w:color="auto"/>
                            <w:right w:val="none" w:sz="0" w:space="0" w:color="auto"/>
                          </w:divBdr>
                          <w:divsChild>
                            <w:div w:id="584920474">
                              <w:marLeft w:val="150"/>
                              <w:marRight w:val="150"/>
                              <w:marTop w:val="0"/>
                              <w:marBottom w:val="0"/>
                              <w:divBdr>
                                <w:top w:val="none" w:sz="0" w:space="0" w:color="auto"/>
                                <w:left w:val="none" w:sz="0" w:space="0" w:color="auto"/>
                                <w:bottom w:val="none" w:sz="0" w:space="0" w:color="auto"/>
                                <w:right w:val="none" w:sz="0" w:space="0" w:color="auto"/>
                              </w:divBdr>
                              <w:divsChild>
                                <w:div w:id="107310545">
                                  <w:marLeft w:val="0"/>
                                  <w:marRight w:val="0"/>
                                  <w:marTop w:val="0"/>
                                  <w:marBottom w:val="300"/>
                                  <w:divBdr>
                                    <w:top w:val="none" w:sz="0" w:space="0" w:color="auto"/>
                                    <w:left w:val="none" w:sz="0" w:space="0" w:color="auto"/>
                                    <w:bottom w:val="none" w:sz="0" w:space="0" w:color="auto"/>
                                    <w:right w:val="none" w:sz="0" w:space="0" w:color="auto"/>
                                  </w:divBdr>
                                  <w:divsChild>
                                    <w:div w:id="494221746">
                                      <w:marLeft w:val="0"/>
                                      <w:marRight w:val="0"/>
                                      <w:marTop w:val="0"/>
                                      <w:marBottom w:val="0"/>
                                      <w:divBdr>
                                        <w:top w:val="none" w:sz="0" w:space="0" w:color="auto"/>
                                        <w:left w:val="none" w:sz="0" w:space="0" w:color="auto"/>
                                        <w:bottom w:val="none" w:sz="0" w:space="0" w:color="auto"/>
                                        <w:right w:val="none" w:sz="0" w:space="0" w:color="auto"/>
                                      </w:divBdr>
                                      <w:divsChild>
                                        <w:div w:id="989141755">
                                          <w:marLeft w:val="0"/>
                                          <w:marRight w:val="0"/>
                                          <w:marTop w:val="0"/>
                                          <w:marBottom w:val="0"/>
                                          <w:divBdr>
                                            <w:top w:val="none" w:sz="0" w:space="0" w:color="auto"/>
                                            <w:left w:val="none" w:sz="0" w:space="0" w:color="auto"/>
                                            <w:bottom w:val="none" w:sz="0" w:space="0" w:color="auto"/>
                                            <w:right w:val="none" w:sz="0" w:space="0" w:color="auto"/>
                                          </w:divBdr>
                                          <w:divsChild>
                                            <w:div w:id="1314335808">
                                              <w:marLeft w:val="0"/>
                                              <w:marRight w:val="0"/>
                                              <w:marTop w:val="0"/>
                                              <w:marBottom w:val="0"/>
                                              <w:divBdr>
                                                <w:top w:val="none" w:sz="0" w:space="0" w:color="auto"/>
                                                <w:left w:val="none" w:sz="0" w:space="0" w:color="auto"/>
                                                <w:bottom w:val="none" w:sz="0" w:space="0" w:color="auto"/>
                                                <w:right w:val="none" w:sz="0" w:space="0" w:color="auto"/>
                                              </w:divBdr>
                                              <w:divsChild>
                                                <w:div w:id="251594754">
                                                  <w:marLeft w:val="0"/>
                                                  <w:marRight w:val="0"/>
                                                  <w:marTop w:val="0"/>
                                                  <w:marBottom w:val="0"/>
                                                  <w:divBdr>
                                                    <w:top w:val="none" w:sz="0" w:space="0" w:color="auto"/>
                                                    <w:left w:val="none" w:sz="0" w:space="0" w:color="auto"/>
                                                    <w:bottom w:val="none" w:sz="0" w:space="0" w:color="auto"/>
                                                    <w:right w:val="none" w:sz="0" w:space="0" w:color="auto"/>
                                                  </w:divBdr>
                                                  <w:divsChild>
                                                    <w:div w:id="831918221">
                                                      <w:marLeft w:val="0"/>
                                                      <w:marRight w:val="0"/>
                                                      <w:marTop w:val="0"/>
                                                      <w:marBottom w:val="0"/>
                                                      <w:divBdr>
                                                        <w:top w:val="none" w:sz="0" w:space="0" w:color="auto"/>
                                                        <w:left w:val="none" w:sz="0" w:space="0" w:color="auto"/>
                                                        <w:bottom w:val="none" w:sz="0" w:space="0" w:color="auto"/>
                                                        <w:right w:val="none" w:sz="0" w:space="0" w:color="auto"/>
                                                      </w:divBdr>
                                                    </w:div>
                                                  </w:divsChild>
                                                </w:div>
                                                <w:div w:id="945886574">
                                                  <w:marLeft w:val="0"/>
                                                  <w:marRight w:val="0"/>
                                                  <w:marTop w:val="0"/>
                                                  <w:marBottom w:val="0"/>
                                                  <w:divBdr>
                                                    <w:top w:val="none" w:sz="0" w:space="0" w:color="auto"/>
                                                    <w:left w:val="none" w:sz="0" w:space="0" w:color="auto"/>
                                                    <w:bottom w:val="none" w:sz="0" w:space="0" w:color="auto"/>
                                                    <w:right w:val="none" w:sz="0" w:space="0" w:color="auto"/>
                                                  </w:divBdr>
                                                </w:div>
                                                <w:div w:id="420806855">
                                                  <w:marLeft w:val="0"/>
                                                  <w:marRight w:val="0"/>
                                                  <w:marTop w:val="0"/>
                                                  <w:marBottom w:val="0"/>
                                                  <w:divBdr>
                                                    <w:top w:val="none" w:sz="0" w:space="0" w:color="auto"/>
                                                    <w:left w:val="none" w:sz="0" w:space="0" w:color="auto"/>
                                                    <w:bottom w:val="none" w:sz="0" w:space="0" w:color="auto"/>
                                                    <w:right w:val="none" w:sz="0" w:space="0" w:color="auto"/>
                                                  </w:divBdr>
                                                </w:div>
                                                <w:div w:id="1740979897">
                                                  <w:marLeft w:val="0"/>
                                                  <w:marRight w:val="0"/>
                                                  <w:marTop w:val="0"/>
                                                  <w:marBottom w:val="0"/>
                                                  <w:divBdr>
                                                    <w:top w:val="none" w:sz="0" w:space="0" w:color="auto"/>
                                                    <w:left w:val="none" w:sz="0" w:space="0" w:color="auto"/>
                                                    <w:bottom w:val="none" w:sz="0" w:space="0" w:color="auto"/>
                                                    <w:right w:val="none" w:sz="0" w:space="0" w:color="auto"/>
                                                  </w:divBdr>
                                                </w:div>
                                                <w:div w:id="1391266887">
                                                  <w:marLeft w:val="0"/>
                                                  <w:marRight w:val="0"/>
                                                  <w:marTop w:val="0"/>
                                                  <w:marBottom w:val="0"/>
                                                  <w:divBdr>
                                                    <w:top w:val="none" w:sz="0" w:space="0" w:color="auto"/>
                                                    <w:left w:val="none" w:sz="0" w:space="0" w:color="auto"/>
                                                    <w:bottom w:val="none" w:sz="0" w:space="0" w:color="auto"/>
                                                    <w:right w:val="none" w:sz="0" w:space="0" w:color="auto"/>
                                                  </w:divBdr>
                                                </w:div>
                                                <w:div w:id="354229754">
                                                  <w:marLeft w:val="0"/>
                                                  <w:marRight w:val="0"/>
                                                  <w:marTop w:val="0"/>
                                                  <w:marBottom w:val="0"/>
                                                  <w:divBdr>
                                                    <w:top w:val="none" w:sz="0" w:space="0" w:color="auto"/>
                                                    <w:left w:val="none" w:sz="0" w:space="0" w:color="auto"/>
                                                    <w:bottom w:val="none" w:sz="0" w:space="0" w:color="auto"/>
                                                    <w:right w:val="none" w:sz="0" w:space="0" w:color="auto"/>
                                                  </w:divBdr>
                                                </w:div>
                                                <w:div w:id="515466815">
                                                  <w:marLeft w:val="0"/>
                                                  <w:marRight w:val="0"/>
                                                  <w:marTop w:val="0"/>
                                                  <w:marBottom w:val="0"/>
                                                  <w:divBdr>
                                                    <w:top w:val="none" w:sz="0" w:space="0" w:color="auto"/>
                                                    <w:left w:val="none" w:sz="0" w:space="0" w:color="auto"/>
                                                    <w:bottom w:val="none" w:sz="0" w:space="0" w:color="auto"/>
                                                    <w:right w:val="none" w:sz="0" w:space="0" w:color="auto"/>
                                                  </w:divBdr>
                                                </w:div>
                                                <w:div w:id="1462385099">
                                                  <w:marLeft w:val="0"/>
                                                  <w:marRight w:val="0"/>
                                                  <w:marTop w:val="0"/>
                                                  <w:marBottom w:val="0"/>
                                                  <w:divBdr>
                                                    <w:top w:val="none" w:sz="0" w:space="0" w:color="auto"/>
                                                    <w:left w:val="none" w:sz="0" w:space="0" w:color="auto"/>
                                                    <w:bottom w:val="none" w:sz="0" w:space="0" w:color="auto"/>
                                                    <w:right w:val="none" w:sz="0" w:space="0" w:color="auto"/>
                                                  </w:divBdr>
                                                  <w:divsChild>
                                                    <w:div w:id="1661957334">
                                                      <w:marLeft w:val="0"/>
                                                      <w:marRight w:val="0"/>
                                                      <w:marTop w:val="0"/>
                                                      <w:marBottom w:val="0"/>
                                                      <w:divBdr>
                                                        <w:top w:val="none" w:sz="0" w:space="0" w:color="auto"/>
                                                        <w:left w:val="none" w:sz="0" w:space="0" w:color="auto"/>
                                                        <w:bottom w:val="none" w:sz="0" w:space="0" w:color="auto"/>
                                                        <w:right w:val="none" w:sz="0" w:space="0" w:color="auto"/>
                                                      </w:divBdr>
                                                      <w:divsChild>
                                                        <w:div w:id="1761871535">
                                                          <w:marLeft w:val="0"/>
                                                          <w:marRight w:val="0"/>
                                                          <w:marTop w:val="0"/>
                                                          <w:marBottom w:val="0"/>
                                                          <w:divBdr>
                                                            <w:top w:val="none" w:sz="0" w:space="0" w:color="auto"/>
                                                            <w:left w:val="none" w:sz="0" w:space="0" w:color="auto"/>
                                                            <w:bottom w:val="none" w:sz="0" w:space="0" w:color="auto"/>
                                                            <w:right w:val="none" w:sz="0" w:space="0" w:color="auto"/>
                                                          </w:divBdr>
                                                          <w:divsChild>
                                                            <w:div w:id="1280065259">
                                                              <w:marLeft w:val="0"/>
                                                              <w:marRight w:val="0"/>
                                                              <w:marTop w:val="0"/>
                                                              <w:marBottom w:val="0"/>
                                                              <w:divBdr>
                                                                <w:top w:val="none" w:sz="0" w:space="0" w:color="auto"/>
                                                                <w:left w:val="none" w:sz="0" w:space="0" w:color="auto"/>
                                                                <w:bottom w:val="none" w:sz="0" w:space="0" w:color="auto"/>
                                                                <w:right w:val="none" w:sz="0" w:space="0" w:color="auto"/>
                                                              </w:divBdr>
                                                              <w:divsChild>
                                                                <w:div w:id="484276863">
                                                                  <w:marLeft w:val="0"/>
                                                                  <w:marRight w:val="0"/>
                                                                  <w:marTop w:val="0"/>
                                                                  <w:marBottom w:val="0"/>
                                                                  <w:divBdr>
                                                                    <w:top w:val="none" w:sz="0" w:space="0" w:color="auto"/>
                                                                    <w:left w:val="none" w:sz="0" w:space="0" w:color="auto"/>
                                                                    <w:bottom w:val="none" w:sz="0" w:space="0" w:color="auto"/>
                                                                    <w:right w:val="none" w:sz="0" w:space="0" w:color="auto"/>
                                                                  </w:divBdr>
                                                                  <w:divsChild>
                                                                    <w:div w:id="863976346">
                                                                      <w:marLeft w:val="0"/>
                                                                      <w:marRight w:val="0"/>
                                                                      <w:marTop w:val="0"/>
                                                                      <w:marBottom w:val="0"/>
                                                                      <w:divBdr>
                                                                        <w:top w:val="none" w:sz="0" w:space="0" w:color="auto"/>
                                                                        <w:left w:val="none" w:sz="0" w:space="0" w:color="auto"/>
                                                                        <w:bottom w:val="none" w:sz="0" w:space="0" w:color="auto"/>
                                                                        <w:right w:val="none" w:sz="0" w:space="0" w:color="auto"/>
                                                                      </w:divBdr>
                                                                    </w:div>
                                                                  </w:divsChild>
                                                                </w:div>
                                                                <w:div w:id="179662591">
                                                                  <w:marLeft w:val="0"/>
                                                                  <w:marRight w:val="0"/>
                                                                  <w:marTop w:val="0"/>
                                                                  <w:marBottom w:val="0"/>
                                                                  <w:divBdr>
                                                                    <w:top w:val="none" w:sz="0" w:space="0" w:color="auto"/>
                                                                    <w:left w:val="none" w:sz="0" w:space="0" w:color="auto"/>
                                                                    <w:bottom w:val="none" w:sz="0" w:space="0" w:color="auto"/>
                                                                    <w:right w:val="none" w:sz="0" w:space="0" w:color="auto"/>
                                                                  </w:divBdr>
                                                                  <w:divsChild>
                                                                    <w:div w:id="26870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798501">
                                                  <w:marLeft w:val="0"/>
                                                  <w:marRight w:val="0"/>
                                                  <w:marTop w:val="0"/>
                                                  <w:marBottom w:val="0"/>
                                                  <w:divBdr>
                                                    <w:top w:val="none" w:sz="0" w:space="0" w:color="auto"/>
                                                    <w:left w:val="none" w:sz="0" w:space="0" w:color="auto"/>
                                                    <w:bottom w:val="none" w:sz="0" w:space="0" w:color="auto"/>
                                                    <w:right w:val="none" w:sz="0" w:space="0" w:color="auto"/>
                                                  </w:divBdr>
                                                </w:div>
                                                <w:div w:id="281765511">
                                                  <w:marLeft w:val="0"/>
                                                  <w:marRight w:val="0"/>
                                                  <w:marTop w:val="0"/>
                                                  <w:marBottom w:val="0"/>
                                                  <w:divBdr>
                                                    <w:top w:val="none" w:sz="0" w:space="0" w:color="auto"/>
                                                    <w:left w:val="none" w:sz="0" w:space="0" w:color="auto"/>
                                                    <w:bottom w:val="none" w:sz="0" w:space="0" w:color="auto"/>
                                                    <w:right w:val="none" w:sz="0" w:space="0" w:color="auto"/>
                                                  </w:divBdr>
                                                </w:div>
                                                <w:div w:id="8989802">
                                                  <w:marLeft w:val="0"/>
                                                  <w:marRight w:val="0"/>
                                                  <w:marTop w:val="0"/>
                                                  <w:marBottom w:val="0"/>
                                                  <w:divBdr>
                                                    <w:top w:val="none" w:sz="0" w:space="0" w:color="auto"/>
                                                    <w:left w:val="none" w:sz="0" w:space="0" w:color="auto"/>
                                                    <w:bottom w:val="none" w:sz="0" w:space="0" w:color="auto"/>
                                                    <w:right w:val="none" w:sz="0" w:space="0" w:color="auto"/>
                                                  </w:divBdr>
                                                </w:div>
                                                <w:div w:id="107086314">
                                                  <w:marLeft w:val="0"/>
                                                  <w:marRight w:val="0"/>
                                                  <w:marTop w:val="0"/>
                                                  <w:marBottom w:val="0"/>
                                                  <w:divBdr>
                                                    <w:top w:val="none" w:sz="0" w:space="0" w:color="auto"/>
                                                    <w:left w:val="none" w:sz="0" w:space="0" w:color="auto"/>
                                                    <w:bottom w:val="none" w:sz="0" w:space="0" w:color="auto"/>
                                                    <w:right w:val="none" w:sz="0" w:space="0" w:color="auto"/>
                                                  </w:divBdr>
                                                </w:div>
                                                <w:div w:id="208930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196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Lynn M. (lmm2z)</dc:creator>
  <cp:keywords/>
  <dc:description/>
  <cp:lastModifiedBy>Mitchell, Lynn M. (lmm2z)</cp:lastModifiedBy>
  <cp:revision>2</cp:revision>
  <dcterms:created xsi:type="dcterms:W3CDTF">2018-04-19T15:57:00Z</dcterms:created>
  <dcterms:modified xsi:type="dcterms:W3CDTF">2018-04-19T15:57:00Z</dcterms:modified>
</cp:coreProperties>
</file>